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40532899" w:rsidR="00D16CB5" w:rsidRDefault="00BC005B">
      <w:pPr>
        <w:pStyle w:val="ac"/>
        <w:rPr>
          <w:rFonts w:asciiTheme="minorHAnsi" w:hAnsiTheme="minorHAnsi" w:cstheme="minorHAnsi"/>
        </w:rPr>
      </w:pPr>
      <w:r w:rsidRPr="00BC005B">
        <w:rPr>
          <w:rFonts w:asciiTheme="minorHAnsi" w:hAnsiTheme="minorHAnsi" w:cstheme="minorHAnsi"/>
        </w:rPr>
        <w:t>LBTR09F</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09FC2A43" w:rsidR="002725CD" w:rsidRPr="008041C2" w:rsidRDefault="002725CD" w:rsidP="008041C2">
      <w:pPr>
        <w:rPr>
          <w:rFonts w:cstheme="minorHAnsi"/>
          <w:sz w:val="18"/>
          <w:szCs w:val="18"/>
        </w:rPr>
      </w:pPr>
      <w:r w:rsidRPr="008041C2">
        <w:rPr>
          <w:rFonts w:cstheme="minorHAnsi"/>
          <w:sz w:val="18"/>
          <w:szCs w:val="18"/>
        </w:rPr>
        <w:t xml:space="preserve">Industrial Ethernet switch with </w:t>
      </w:r>
      <w:r w:rsidR="00E54B0D">
        <w:rPr>
          <w:rFonts w:cstheme="minorHAnsi"/>
          <w:sz w:val="18"/>
          <w:szCs w:val="18"/>
        </w:rPr>
        <w:t>8</w:t>
      </w:r>
      <w:r w:rsidRPr="008041C2">
        <w:rPr>
          <w:rFonts w:cstheme="minorHAnsi"/>
          <w:sz w:val="18"/>
          <w:szCs w:val="18"/>
        </w:rPr>
        <w:t>-Port 10/100Mbps</w:t>
      </w:r>
      <w:r w:rsidR="008446DF">
        <w:rPr>
          <w:rFonts w:cstheme="minorHAnsi"/>
          <w:sz w:val="18"/>
          <w:szCs w:val="18"/>
        </w:rPr>
        <w:t xml:space="preserve"> +1 Port uplink</w:t>
      </w:r>
      <w:r w:rsidR="00E54B0D">
        <w:rPr>
          <w:rFonts w:cstheme="minorHAnsi"/>
          <w:sz w:val="18"/>
          <w:szCs w:val="18"/>
        </w:rPr>
        <w:t xml:space="preserve"> </w:t>
      </w:r>
      <w:r w:rsidRPr="008041C2">
        <w:rPr>
          <w:rFonts w:cstheme="minorHAnsi"/>
          <w:sz w:val="18"/>
          <w:szCs w:val="18"/>
        </w:rPr>
        <w:t xml:space="preserve">BASE-TX , the Product </w:t>
      </w:r>
      <w:bookmarkStart w:id="0" w:name="_GoBack"/>
      <w:bookmarkEnd w:id="0"/>
      <w:r w:rsidRPr="008041C2">
        <w:rPr>
          <w:rFonts w:cstheme="minorHAnsi"/>
          <w:sz w:val="18"/>
          <w:szCs w:val="18"/>
        </w:rPr>
        <w:t>meet CE,FCC, RoHS standards.</w:t>
      </w:r>
      <w:r w:rsidR="00BC005B">
        <w:rPr>
          <w:rFonts w:cstheme="minorHAnsi"/>
          <w:sz w:val="18"/>
          <w:szCs w:val="18"/>
        </w:rPr>
        <w:t>LBTR09F</w:t>
      </w:r>
      <w:r w:rsidRPr="008041C2">
        <w:rPr>
          <w:rFonts w:cstheme="minorHAnsi"/>
          <w:sz w:val="18"/>
          <w:szCs w:val="18"/>
        </w:rPr>
        <w:t xml:space="preserve"> 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w:t>
      </w:r>
      <w:r w:rsidR="00FD3563">
        <w:rPr>
          <w:rFonts w:cstheme="minorHAnsi"/>
          <w:sz w:val="18"/>
          <w:szCs w:val="18"/>
        </w:rPr>
        <w:t>80</w:t>
      </w:r>
      <w:r w:rsidR="00FD3563">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BC005B">
        <w:rPr>
          <w:rFonts w:cstheme="minorHAnsi"/>
          <w:sz w:val="18"/>
          <w:szCs w:val="18"/>
        </w:rPr>
        <w:t>LBTR09F</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2AD4E297" w:rsidR="00D16CB5" w:rsidRPr="008041C2" w:rsidRDefault="008446DF" w:rsidP="003F4B9D">
      <w:pPr>
        <w:rPr>
          <w:rFonts w:cstheme="minorHAnsi"/>
          <w:noProof/>
          <w:sz w:val="18"/>
          <w:szCs w:val="18"/>
        </w:rPr>
      </w:pPr>
      <w:r>
        <w:rPr>
          <w:noProof/>
        </w:rPr>
        <w:drawing>
          <wp:anchor distT="0" distB="0" distL="114300" distR="114300" simplePos="0" relativeHeight="251658752" behindDoc="1" locked="0" layoutInCell="1" allowOverlap="1" wp14:anchorId="43D2BB03" wp14:editId="383B3C7E">
            <wp:simplePos x="0" y="0"/>
            <wp:positionH relativeFrom="column">
              <wp:posOffset>60267</wp:posOffset>
            </wp:positionH>
            <wp:positionV relativeFrom="paragraph">
              <wp:posOffset>1031125</wp:posOffset>
            </wp:positionV>
            <wp:extent cx="2035175" cy="733425"/>
            <wp:effectExtent l="0" t="0" r="0" b="0"/>
            <wp:wrapTight wrapText="bothSides">
              <wp:wrapPolygon edited="0">
                <wp:start x="0" y="0"/>
                <wp:lineTo x="0" y="21319"/>
                <wp:lineTo x="21432" y="21319"/>
                <wp:lineTo x="21432" y="0"/>
                <wp:lineTo x="0" y="0"/>
              </wp:wrapPolygon>
            </wp:wrapTight>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35175" cy="733425"/>
                    </a:xfrm>
                    <a:prstGeom prst="rect">
                      <a:avLst/>
                    </a:prstGeom>
                    <a:noFill/>
                    <a:ln w="9525">
                      <a:noFill/>
                      <a:miter lim="800000"/>
                      <a:headEnd/>
                      <a:tailEnd/>
                    </a:ln>
                  </pic:spPr>
                </pic:pic>
              </a:graphicData>
            </a:graphic>
          </wp:anchor>
        </w:drawing>
      </w:r>
      <w:r w:rsidR="00BC005B">
        <w:rPr>
          <w:rFonts w:cstheme="minorHAnsi"/>
          <w:b/>
          <w:sz w:val="18"/>
          <w:szCs w:val="18"/>
        </w:rPr>
        <w:t>LBTR09F</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67F6027F" w14:textId="232F38F8" w:rsidR="000E417B" w:rsidRPr="008041C2" w:rsidRDefault="00BC005B" w:rsidP="008041C2">
      <w:pPr>
        <w:rPr>
          <w:rFonts w:cstheme="minorHAnsi"/>
          <w:sz w:val="18"/>
          <w:szCs w:val="18"/>
        </w:rPr>
      </w:pPr>
      <w:r>
        <w:rPr>
          <w:rFonts w:cstheme="minorHAnsi"/>
          <w:b/>
          <w:sz w:val="18"/>
          <w:szCs w:val="18"/>
        </w:rPr>
        <w:t>LBTR09F</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36AD82B6" w14:textId="7F43060B" w:rsidR="008041C2" w:rsidRDefault="00536000">
      <w:pPr>
        <w:rPr>
          <w:rFonts w:cstheme="minorHAnsi"/>
        </w:rPr>
      </w:pPr>
      <w:r>
        <w:rPr>
          <w:noProof/>
        </w:rPr>
        <w:drawing>
          <wp:inline distT="0" distB="0" distL="0" distR="0" wp14:anchorId="0ABB86C1" wp14:editId="638F5F1B">
            <wp:extent cx="2112819" cy="736355"/>
            <wp:effectExtent l="0" t="0" r="0" b="0"/>
            <wp:docPr id="2" name="图片 1" descr="E:\YH产品资料202006\尺寸规格图\入地1光8_新.png入地1光8_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YH产品资料202006\尺寸规格图\入地1光8_新.png入地1光8_新"/>
                    <pic:cNvPicPr>
                      <a:picLocks noChangeAspect="1" noChangeArrowheads="1"/>
                    </pic:cNvPicPr>
                  </pic:nvPicPr>
                  <pic:blipFill>
                    <a:blip r:embed="rId11"/>
                    <a:srcRect/>
                    <a:stretch>
                      <a:fillRect/>
                    </a:stretch>
                  </pic:blipFill>
                  <pic:spPr>
                    <a:xfrm>
                      <a:off x="0" y="0"/>
                      <a:ext cx="2114229" cy="736846"/>
                    </a:xfrm>
                    <a:prstGeom prst="rect">
                      <a:avLst/>
                    </a:prstGeom>
                    <a:noFill/>
                    <a:ln w="9525">
                      <a:noFill/>
                      <a:miter lim="800000"/>
                      <a:headEnd/>
                      <a:tailEnd/>
                    </a:ln>
                  </pic:spPr>
                </pic:pic>
              </a:graphicData>
            </a:graphic>
          </wp:inline>
        </w:drawing>
      </w:r>
    </w:p>
    <w:p w14:paraId="494BD266" w14:textId="77777777" w:rsidR="00536000" w:rsidRPr="003F4B9D" w:rsidRDefault="00536000">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12DF289F"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76FB5CB0"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w:t>
      </w:r>
      <w:r w:rsidR="008041C2" w:rsidRPr="00F32B79">
        <w:rPr>
          <w:rFonts w:cstheme="minorHAnsi"/>
          <w:bCs/>
          <w:sz w:val="18"/>
          <w:szCs w:val="18"/>
        </w:rPr>
        <w:t xml:space="preserve"> </w:t>
      </w:r>
      <w:r w:rsidR="002F5C52">
        <w:rPr>
          <w:rFonts w:cstheme="minorHAnsi"/>
          <w:bCs/>
          <w:sz w:val="18"/>
          <w:szCs w:val="18"/>
        </w:rPr>
        <w:t>8</w:t>
      </w:r>
      <w:r w:rsidR="003B15C5" w:rsidRPr="00F32B79">
        <w:rPr>
          <w:rFonts w:eastAsia="宋体" w:cstheme="minorHAnsi"/>
          <w:bCs/>
          <w:color w:val="000000"/>
          <w:sz w:val="18"/>
          <w:szCs w:val="18"/>
        </w:rPr>
        <w:t>-Port 10/</w:t>
      </w:r>
      <w:r w:rsidR="003B15C5" w:rsidRPr="008041C2">
        <w:rPr>
          <w:rFonts w:eastAsia="宋体" w:cstheme="minorHAnsi"/>
          <w:color w:val="000000"/>
          <w:sz w:val="18"/>
          <w:szCs w:val="18"/>
        </w:rPr>
        <w:t>100Mbps</w:t>
      </w:r>
      <w:r w:rsidR="002F5C52">
        <w:rPr>
          <w:rFonts w:eastAsia="宋体" w:cstheme="minorHAnsi"/>
          <w:color w:val="000000"/>
          <w:sz w:val="18"/>
          <w:szCs w:val="18"/>
        </w:rPr>
        <w:t>+1-P</w:t>
      </w:r>
      <w:r w:rsidR="002F5C52">
        <w:rPr>
          <w:rFonts w:eastAsia="宋体" w:cstheme="minorHAnsi" w:hint="eastAsia"/>
          <w:color w:val="000000"/>
          <w:sz w:val="18"/>
          <w:szCs w:val="18"/>
        </w:rPr>
        <w:t>ort</w:t>
      </w:r>
      <w:r w:rsidR="002F5C52">
        <w:rPr>
          <w:rFonts w:eastAsia="宋体" w:cstheme="minorHAnsi"/>
          <w:color w:val="000000"/>
          <w:sz w:val="18"/>
          <w:szCs w:val="18"/>
        </w:rPr>
        <w:t xml:space="preserve"> uplink</w:t>
      </w:r>
      <w:r w:rsidR="003B15C5" w:rsidRPr="008041C2">
        <w:rPr>
          <w:rFonts w:eastAsia="宋体" w:cstheme="minorHAnsi"/>
          <w:color w:val="000000"/>
          <w:sz w:val="18"/>
          <w:szCs w:val="18"/>
        </w:rPr>
        <w:t xml:space="preserve"> Industrial Switch</w:t>
      </w:r>
    </w:p>
    <w:p w14:paraId="4666B94C" w14:textId="28E21E09"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Pr="008041C2">
        <w:rPr>
          <w:rFonts w:eastAsia="宋体" w:cstheme="minorHAnsi"/>
          <w:color w:val="000000"/>
          <w:sz w:val="18"/>
          <w:szCs w:val="18"/>
        </w:rPr>
        <w:t>8</w:t>
      </w:r>
      <w:r w:rsidR="00FD3563">
        <w:rPr>
          <w:rFonts w:eastAsia="宋体" w:cstheme="minorHAnsi"/>
          <w:color w:val="000000"/>
          <w:sz w:val="18"/>
          <w:szCs w:val="18"/>
        </w:rPr>
        <w:t>0</w:t>
      </w:r>
      <w:r w:rsidRPr="008041C2">
        <w:rPr>
          <w:rFonts w:eastAsia="宋体" w:cstheme="minorHAnsi"/>
          <w:color w:val="000000"/>
          <w:sz w:val="18"/>
          <w:szCs w:val="18"/>
        </w:rPr>
        <w:t>°C</w:t>
      </w:r>
    </w:p>
    <w:p w14:paraId="19EA35F5" w14:textId="36B7702B"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2D062B" w:rsidRPr="008041C2">
        <w:rPr>
          <w:rFonts w:eastAsia="宋体" w:cstheme="minorHAnsi"/>
          <w:color w:val="000000"/>
          <w:sz w:val="18"/>
          <w:szCs w:val="18"/>
        </w:rPr>
        <w:t>8</w:t>
      </w:r>
      <w:r w:rsidR="00FD3563">
        <w:rPr>
          <w:rFonts w:eastAsia="宋体" w:cstheme="minorHAnsi"/>
          <w:color w:val="000000"/>
          <w:sz w:val="18"/>
          <w:szCs w:val="18"/>
        </w:rPr>
        <w:t>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5CF0502F" w14:textId="77777777" w:rsidR="006A4469" w:rsidRDefault="006A4469" w:rsidP="008041C2">
      <w:pPr>
        <w:rPr>
          <w:rFonts w:cstheme="minorHAnsi"/>
          <w:b/>
          <w:sz w:val="18"/>
          <w:szCs w:val="18"/>
        </w:rPr>
      </w:pPr>
      <w:r w:rsidRPr="004F6A92">
        <w:rPr>
          <w:sz w:val="18"/>
          <w:szCs w:val="18"/>
        </w:rPr>
        <w:t xml:space="preserve">Bandwidth: </w:t>
      </w:r>
      <w:r>
        <w:rPr>
          <w:rFonts w:eastAsia="宋体"/>
          <w:sz w:val="18"/>
          <w:szCs w:val="18"/>
        </w:rPr>
        <w:t>1.8</w:t>
      </w:r>
      <w:r w:rsidRPr="004F6A92">
        <w:rPr>
          <w:sz w:val="18"/>
          <w:szCs w:val="18"/>
        </w:rPr>
        <w:t xml:space="preserve">Gbps </w:t>
      </w:r>
      <w:r w:rsidRPr="004F6A92">
        <w:rPr>
          <w:sz w:val="18"/>
          <w:szCs w:val="18"/>
        </w:rPr>
        <w:br/>
        <w:t>Packet Buffer Memory:</w:t>
      </w:r>
      <w:r>
        <w:rPr>
          <w:sz w:val="18"/>
          <w:szCs w:val="18"/>
        </w:rPr>
        <w:t>1.25Mbit</w:t>
      </w:r>
      <w:r w:rsidRPr="004F6A92">
        <w:rPr>
          <w:sz w:val="18"/>
          <w:szCs w:val="18"/>
        </w:rPr>
        <w:br/>
        <w:t>Packet Forwarding Rate:</w:t>
      </w:r>
      <w:r>
        <w:rPr>
          <w:sz w:val="18"/>
          <w:szCs w:val="18"/>
        </w:rPr>
        <w:t>1.4M</w:t>
      </w:r>
      <w:r w:rsidRPr="004F6A92">
        <w:rPr>
          <w:sz w:val="18"/>
          <w:szCs w:val="18"/>
        </w:rPr>
        <w:t>pps</w:t>
      </w:r>
      <w:r w:rsidRPr="004F6A92">
        <w:rPr>
          <w:sz w:val="18"/>
          <w:szCs w:val="18"/>
        </w:rPr>
        <w:br/>
        <w:t xml:space="preserve">MAC Address Table: </w:t>
      </w:r>
      <w:r>
        <w:rPr>
          <w:sz w:val="18"/>
          <w:szCs w:val="18"/>
        </w:rPr>
        <w:t>4</w:t>
      </w:r>
      <w:r w:rsidRPr="009865B6">
        <w:rPr>
          <w:sz w:val="18"/>
          <w:szCs w:val="18"/>
        </w:rPr>
        <w:t>K</w:t>
      </w:r>
      <w:r w:rsidRPr="008041C2">
        <w:rPr>
          <w:rFonts w:cstheme="minorHAnsi"/>
          <w:b/>
          <w:sz w:val="18"/>
          <w:szCs w:val="18"/>
        </w:rPr>
        <w:t xml:space="preserve"> </w:t>
      </w:r>
    </w:p>
    <w:p w14:paraId="422E0B2C" w14:textId="3A72B0AB"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CB3D0CB" w:rsidR="003F4B9D" w:rsidRDefault="00221C33" w:rsidP="008041C2">
      <w:pPr>
        <w:rPr>
          <w:rFonts w:cstheme="minorHAnsi"/>
          <w:bCs/>
          <w:sz w:val="18"/>
          <w:szCs w:val="18"/>
        </w:rPr>
      </w:pPr>
      <w:r w:rsidRPr="008041C2">
        <w:rPr>
          <w:rFonts w:cstheme="minorHAnsi"/>
          <w:bCs/>
          <w:sz w:val="18"/>
          <w:szCs w:val="18"/>
        </w:rPr>
        <w:t>Support reverse connection protection</w:t>
      </w:r>
    </w:p>
    <w:p w14:paraId="5494CFD1" w14:textId="77777777" w:rsidR="00981F36" w:rsidRPr="002F7883" w:rsidRDefault="00981F36" w:rsidP="00981F36">
      <w:pPr>
        <w:rPr>
          <w:rFonts w:cstheme="minorHAnsi"/>
          <w:bCs/>
          <w:sz w:val="18"/>
          <w:szCs w:val="18"/>
        </w:rPr>
      </w:pPr>
      <w:r w:rsidRPr="002F7883">
        <w:rPr>
          <w:rFonts w:cstheme="minorHAnsi" w:hint="eastAsia"/>
          <w:bCs/>
          <w:sz w:val="18"/>
          <w:szCs w:val="18"/>
        </w:rPr>
        <w:t>M</w:t>
      </w:r>
      <w:r w:rsidRPr="002F7883">
        <w:rPr>
          <w:rFonts w:cstheme="minorHAnsi"/>
          <w:bCs/>
          <w:sz w:val="18"/>
          <w:szCs w:val="18"/>
        </w:rPr>
        <w:t xml:space="preserve">ax Power consumption: </w:t>
      </w:r>
      <w:r>
        <w:rPr>
          <w:rFonts w:cstheme="minorHAnsi"/>
          <w:bCs/>
          <w:sz w:val="18"/>
          <w:szCs w:val="18"/>
        </w:rPr>
        <w:t>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6C0201A9"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0.</w:t>
      </w:r>
      <w:r w:rsidR="00DE7F1A">
        <w:rPr>
          <w:rFonts w:eastAsia="宋体" w:cstheme="minorHAnsi"/>
          <w:color w:val="000000"/>
          <w:sz w:val="18"/>
          <w:szCs w:val="18"/>
        </w:rPr>
        <w:t>52</w:t>
      </w:r>
      <w:r w:rsidR="002D062B" w:rsidRPr="008041C2">
        <w:rPr>
          <w:rFonts w:eastAsia="宋体" w:cstheme="minorHAnsi"/>
          <w:color w:val="000000"/>
          <w:sz w:val="18"/>
          <w:szCs w:val="18"/>
        </w:rPr>
        <w:t>Kg</w:t>
      </w:r>
      <w:r w:rsidR="00F32B79">
        <w:rPr>
          <w:rFonts w:eastAsia="宋体" w:cstheme="minorHAnsi"/>
          <w:color w:val="000000"/>
          <w:sz w:val="18"/>
          <w:szCs w:val="18"/>
        </w:rPr>
        <w:t>s</w:t>
      </w:r>
      <w:r w:rsidR="002D062B" w:rsidRPr="008041C2">
        <w:rPr>
          <w:rFonts w:eastAsia="宋体" w:cstheme="minorHAnsi"/>
          <w:color w:val="000000"/>
          <w:sz w:val="18"/>
          <w:szCs w:val="18"/>
        </w:rPr>
        <w:t xml:space="preserve"> </w:t>
      </w:r>
    </w:p>
    <w:p w14:paraId="43855DAF" w14:textId="1A9449B6"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bookmarkStart w:id="1" w:name="_Hlk76473113"/>
      <w:r w:rsidR="00DE7F1A" w:rsidRPr="00DB7CD9">
        <w:rPr>
          <w:sz w:val="18"/>
          <w:szCs w:val="18"/>
        </w:rPr>
        <w:t>1</w:t>
      </w:r>
      <w:r w:rsidR="00DE7F1A">
        <w:rPr>
          <w:sz w:val="18"/>
          <w:szCs w:val="18"/>
        </w:rPr>
        <w:t>43</w:t>
      </w:r>
      <w:r w:rsidR="00DE7F1A">
        <w:rPr>
          <w:rFonts w:hint="eastAsia"/>
          <w:sz w:val="18"/>
          <w:szCs w:val="18"/>
        </w:rPr>
        <w:t>.</w:t>
      </w:r>
      <w:r w:rsidR="00DE7F1A">
        <w:rPr>
          <w:sz w:val="18"/>
          <w:szCs w:val="18"/>
        </w:rPr>
        <w:t>7</w:t>
      </w:r>
      <w:r w:rsidR="00DE7F1A" w:rsidRPr="00DB7CD9">
        <w:rPr>
          <w:sz w:val="18"/>
          <w:szCs w:val="18"/>
        </w:rPr>
        <w:t xml:space="preserve"> x </w:t>
      </w:r>
      <w:r w:rsidR="00DE7F1A">
        <w:rPr>
          <w:sz w:val="18"/>
          <w:szCs w:val="18"/>
        </w:rPr>
        <w:t>103</w:t>
      </w:r>
      <w:r w:rsidR="00DE7F1A" w:rsidRPr="00DB7CD9">
        <w:rPr>
          <w:sz w:val="18"/>
          <w:szCs w:val="18"/>
        </w:rPr>
        <w:t xml:space="preserve"> x </w:t>
      </w:r>
      <w:r w:rsidR="00DE7F1A">
        <w:rPr>
          <w:sz w:val="18"/>
          <w:szCs w:val="18"/>
        </w:rPr>
        <w:t>47.7</w:t>
      </w:r>
      <w:r w:rsidR="00DE7F1A" w:rsidRPr="00DB7CD9">
        <w:rPr>
          <w:sz w:val="18"/>
          <w:szCs w:val="18"/>
        </w:rPr>
        <w:t xml:space="preserve"> mm</w:t>
      </w:r>
      <w:bookmarkEnd w:id="1"/>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452D4B8B"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75B7DCC6" w14:textId="77777777" w:rsidR="00E16A18" w:rsidRPr="008041C2" w:rsidRDefault="00E16A18">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050"/>
        <w:gridCol w:w="1230"/>
        <w:gridCol w:w="1141"/>
      </w:tblGrid>
      <w:tr w:rsidR="00A7602E" w:rsidRPr="003F4B9D" w14:paraId="462B337C" w14:textId="77777777" w:rsidTr="00AA1D7A">
        <w:trPr>
          <w:jc w:val="center"/>
        </w:trPr>
        <w:tc>
          <w:tcPr>
            <w:tcW w:w="105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23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rsidTr="00AA1D7A">
        <w:trPr>
          <w:jc w:val="center"/>
        </w:trPr>
        <w:tc>
          <w:tcPr>
            <w:tcW w:w="105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23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rsidTr="00AA1D7A">
        <w:trPr>
          <w:jc w:val="center"/>
        </w:trPr>
        <w:tc>
          <w:tcPr>
            <w:tcW w:w="1050" w:type="dxa"/>
            <w:vMerge/>
            <w:vAlign w:val="center"/>
          </w:tcPr>
          <w:p w14:paraId="28591F5E" w14:textId="77777777" w:rsidR="00A7602E" w:rsidRPr="008041C2" w:rsidRDefault="00A7602E" w:rsidP="00A7602E">
            <w:pPr>
              <w:jc w:val="center"/>
              <w:rPr>
                <w:rFonts w:cstheme="minorHAnsi"/>
                <w:sz w:val="18"/>
                <w:szCs w:val="18"/>
              </w:rPr>
            </w:pPr>
          </w:p>
        </w:tc>
        <w:tc>
          <w:tcPr>
            <w:tcW w:w="123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rsidTr="00AA1D7A">
        <w:trPr>
          <w:jc w:val="center"/>
        </w:trPr>
        <w:tc>
          <w:tcPr>
            <w:tcW w:w="105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23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rsidTr="00AA1D7A">
        <w:trPr>
          <w:jc w:val="center"/>
        </w:trPr>
        <w:tc>
          <w:tcPr>
            <w:tcW w:w="1050" w:type="dxa"/>
            <w:vMerge/>
            <w:vAlign w:val="center"/>
          </w:tcPr>
          <w:p w14:paraId="416F9D26" w14:textId="77777777" w:rsidR="00A7602E" w:rsidRPr="008041C2" w:rsidRDefault="00A7602E" w:rsidP="00A7602E">
            <w:pPr>
              <w:jc w:val="center"/>
              <w:rPr>
                <w:rFonts w:cstheme="minorHAnsi"/>
                <w:sz w:val="18"/>
                <w:szCs w:val="18"/>
              </w:rPr>
            </w:pPr>
          </w:p>
        </w:tc>
        <w:tc>
          <w:tcPr>
            <w:tcW w:w="123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rsidTr="00AA1D7A">
        <w:trPr>
          <w:jc w:val="center"/>
        </w:trPr>
        <w:tc>
          <w:tcPr>
            <w:tcW w:w="1050" w:type="dxa"/>
            <w:vMerge/>
            <w:vAlign w:val="center"/>
          </w:tcPr>
          <w:p w14:paraId="503AA5CF" w14:textId="77777777" w:rsidR="00A7602E" w:rsidRPr="008041C2" w:rsidRDefault="00A7602E" w:rsidP="00A7602E">
            <w:pPr>
              <w:jc w:val="center"/>
              <w:rPr>
                <w:rFonts w:cstheme="minorHAnsi"/>
                <w:sz w:val="18"/>
                <w:szCs w:val="18"/>
              </w:rPr>
            </w:pPr>
          </w:p>
        </w:tc>
        <w:tc>
          <w:tcPr>
            <w:tcW w:w="123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rsidTr="00AA1D7A">
        <w:trPr>
          <w:jc w:val="center"/>
        </w:trPr>
        <w:tc>
          <w:tcPr>
            <w:tcW w:w="1050" w:type="dxa"/>
            <w:vMerge/>
            <w:vAlign w:val="center"/>
          </w:tcPr>
          <w:p w14:paraId="08CEF9C5" w14:textId="77777777" w:rsidR="00A7602E" w:rsidRPr="008041C2" w:rsidRDefault="00A7602E" w:rsidP="00A7602E">
            <w:pPr>
              <w:jc w:val="center"/>
              <w:rPr>
                <w:rFonts w:cstheme="minorHAnsi"/>
                <w:sz w:val="18"/>
                <w:szCs w:val="18"/>
              </w:rPr>
            </w:pPr>
          </w:p>
        </w:tc>
        <w:tc>
          <w:tcPr>
            <w:tcW w:w="123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r w:rsidR="009D5DC1" w:rsidRPr="003F4B9D" w14:paraId="1AD5AE18" w14:textId="77777777" w:rsidTr="00AA1D7A">
        <w:trPr>
          <w:jc w:val="center"/>
        </w:trPr>
        <w:tc>
          <w:tcPr>
            <w:tcW w:w="1050" w:type="dxa"/>
            <w:vAlign w:val="center"/>
          </w:tcPr>
          <w:p w14:paraId="1B854E76" w14:textId="35B35DE5" w:rsidR="009D5DC1" w:rsidRPr="008041C2" w:rsidRDefault="009D5DC1" w:rsidP="00A7602E">
            <w:pPr>
              <w:jc w:val="center"/>
              <w:rPr>
                <w:rFonts w:cstheme="minorHAnsi"/>
                <w:sz w:val="18"/>
                <w:szCs w:val="18"/>
              </w:rPr>
            </w:pPr>
            <w:r>
              <w:rPr>
                <w:rFonts w:cstheme="minorHAnsi" w:hint="eastAsia"/>
                <w:sz w:val="18"/>
                <w:szCs w:val="18"/>
              </w:rPr>
              <w:t>L</w:t>
            </w:r>
            <w:r>
              <w:rPr>
                <w:rFonts w:cstheme="minorHAnsi"/>
                <w:sz w:val="18"/>
                <w:szCs w:val="18"/>
              </w:rPr>
              <w:t>INK</w:t>
            </w:r>
          </w:p>
        </w:tc>
        <w:tc>
          <w:tcPr>
            <w:tcW w:w="1230" w:type="dxa"/>
            <w:vAlign w:val="center"/>
          </w:tcPr>
          <w:p w14:paraId="641FD50A" w14:textId="2BFC47E8" w:rsidR="009D5DC1" w:rsidRPr="008041C2" w:rsidRDefault="009D5DC1" w:rsidP="00A7602E">
            <w:pPr>
              <w:jc w:val="center"/>
              <w:rPr>
                <w:rFonts w:cstheme="minorHAnsi"/>
                <w:sz w:val="18"/>
                <w:szCs w:val="18"/>
              </w:rPr>
            </w:pPr>
            <w:r>
              <w:rPr>
                <w:rFonts w:cstheme="minorHAnsi" w:hint="eastAsia"/>
                <w:sz w:val="18"/>
                <w:szCs w:val="18"/>
              </w:rPr>
              <w:t>/</w:t>
            </w:r>
          </w:p>
        </w:tc>
        <w:tc>
          <w:tcPr>
            <w:tcW w:w="1141" w:type="dxa"/>
            <w:vAlign w:val="center"/>
          </w:tcPr>
          <w:p w14:paraId="343CC81C" w14:textId="2F30405C" w:rsidR="009D5DC1" w:rsidRPr="008041C2" w:rsidRDefault="009D5DC1" w:rsidP="00A7602E">
            <w:pPr>
              <w:jc w:val="center"/>
              <w:rPr>
                <w:rFonts w:cstheme="minorHAnsi"/>
                <w:sz w:val="18"/>
                <w:szCs w:val="18"/>
              </w:rPr>
            </w:pPr>
            <w:r>
              <w:rPr>
                <w:rFonts w:cstheme="minorHAnsi" w:hint="eastAsia"/>
                <w:sz w:val="18"/>
                <w:szCs w:val="18"/>
              </w:rPr>
              <w:t>N</w:t>
            </w:r>
            <w:r>
              <w:rPr>
                <w:rFonts w:cstheme="minorHAnsi"/>
                <w:sz w:val="18"/>
                <w:szCs w:val="18"/>
              </w:rPr>
              <w:t>/A to work</w:t>
            </w:r>
          </w:p>
        </w:tc>
      </w:tr>
      <w:tr w:rsidR="009D5DC1" w:rsidRPr="003F4B9D" w14:paraId="111F7E3D" w14:textId="77777777" w:rsidTr="00AA1D7A">
        <w:trPr>
          <w:jc w:val="center"/>
        </w:trPr>
        <w:tc>
          <w:tcPr>
            <w:tcW w:w="1050" w:type="dxa"/>
            <w:vAlign w:val="center"/>
          </w:tcPr>
          <w:p w14:paraId="42770400" w14:textId="434E400F" w:rsidR="009D5DC1" w:rsidRPr="008041C2" w:rsidRDefault="009D5DC1" w:rsidP="00A7602E">
            <w:pPr>
              <w:jc w:val="center"/>
              <w:rPr>
                <w:rFonts w:cstheme="minorHAnsi"/>
                <w:sz w:val="18"/>
                <w:szCs w:val="18"/>
              </w:rPr>
            </w:pPr>
            <w:r>
              <w:rPr>
                <w:rFonts w:cstheme="minorHAnsi" w:hint="eastAsia"/>
                <w:sz w:val="18"/>
                <w:szCs w:val="18"/>
              </w:rPr>
              <w:t>A</w:t>
            </w:r>
            <w:r>
              <w:rPr>
                <w:rFonts w:cstheme="minorHAnsi"/>
                <w:sz w:val="18"/>
                <w:szCs w:val="18"/>
              </w:rPr>
              <w:t>CT</w:t>
            </w:r>
          </w:p>
        </w:tc>
        <w:tc>
          <w:tcPr>
            <w:tcW w:w="1230" w:type="dxa"/>
            <w:vAlign w:val="center"/>
          </w:tcPr>
          <w:p w14:paraId="6AE1412D" w14:textId="7A76E6D5" w:rsidR="009D5DC1" w:rsidRPr="008041C2" w:rsidRDefault="009D5DC1" w:rsidP="00A7602E">
            <w:pPr>
              <w:jc w:val="center"/>
              <w:rPr>
                <w:rFonts w:cstheme="minorHAnsi"/>
                <w:sz w:val="18"/>
                <w:szCs w:val="18"/>
              </w:rPr>
            </w:pPr>
            <w:r>
              <w:rPr>
                <w:rFonts w:cstheme="minorHAnsi"/>
                <w:sz w:val="18"/>
                <w:szCs w:val="18"/>
              </w:rPr>
              <w:t>Green flashing</w:t>
            </w:r>
          </w:p>
        </w:tc>
        <w:tc>
          <w:tcPr>
            <w:tcW w:w="1141" w:type="dxa"/>
            <w:vAlign w:val="center"/>
          </w:tcPr>
          <w:p w14:paraId="5E8E38A2" w14:textId="778CB3E0" w:rsidR="009D5DC1" w:rsidRPr="008041C2" w:rsidRDefault="009D5DC1" w:rsidP="00A7602E">
            <w:pPr>
              <w:jc w:val="center"/>
              <w:rPr>
                <w:rFonts w:cstheme="minorHAnsi"/>
                <w:sz w:val="18"/>
                <w:szCs w:val="18"/>
              </w:rPr>
            </w:pPr>
            <w:r>
              <w:rPr>
                <w:rFonts w:cstheme="minorHAnsi"/>
                <w:sz w:val="18"/>
                <w:szCs w:val="18"/>
              </w:rPr>
              <w:t>Work in normal</w:t>
            </w:r>
          </w:p>
        </w:tc>
      </w:tr>
    </w:tbl>
    <w:p w14:paraId="2F96ED6A" w14:textId="34CD992B" w:rsidR="008041C2" w:rsidRDefault="00934F1F">
      <w:pPr>
        <w:rPr>
          <w:rFonts w:cstheme="minorHAnsi"/>
          <w:b/>
          <w:sz w:val="18"/>
          <w:szCs w:val="18"/>
        </w:rPr>
      </w:pPr>
      <w:r>
        <w:rPr>
          <w:rFonts w:cstheme="minorHAnsi" w:hint="eastAsia"/>
          <w:b/>
        </w:rPr>
        <w:t>N</w:t>
      </w:r>
      <w:r>
        <w:rPr>
          <w:rFonts w:cstheme="minorHAnsi"/>
          <w:b/>
        </w:rPr>
        <w:t xml:space="preserve">ote: </w:t>
      </w:r>
      <w:r w:rsidR="00BC005B">
        <w:rPr>
          <w:rFonts w:cstheme="minorHAnsi"/>
          <w:sz w:val="18"/>
          <w:szCs w:val="18"/>
        </w:rPr>
        <w:t>LBTR09F</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BC005B">
        <w:rPr>
          <w:rFonts w:cstheme="minorHAnsi"/>
          <w:sz w:val="18"/>
          <w:szCs w:val="18"/>
        </w:rPr>
        <w:t>LBTR09F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w:t>
      </w:r>
      <w:r w:rsidRPr="008041C2">
        <w:rPr>
          <w:rFonts w:cstheme="minorHAnsi"/>
          <w:sz w:val="18"/>
          <w:szCs w:val="18"/>
        </w:rPr>
        <w:t>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17"/>
      <w:headerReference w:type="default" r:id="rId18"/>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49815" w14:textId="77777777" w:rsidR="00545DEF" w:rsidRDefault="00545DEF">
      <w:r>
        <w:separator/>
      </w:r>
    </w:p>
  </w:endnote>
  <w:endnote w:type="continuationSeparator" w:id="0">
    <w:p w14:paraId="182EEE9B" w14:textId="77777777" w:rsidR="00545DEF" w:rsidRDefault="0054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EF52" w14:textId="77777777" w:rsidR="00545DEF" w:rsidRDefault="00545DEF">
      <w:r>
        <w:separator/>
      </w:r>
    </w:p>
  </w:footnote>
  <w:footnote w:type="continuationSeparator" w:id="0">
    <w:p w14:paraId="79C4BB01" w14:textId="77777777" w:rsidR="00545DEF" w:rsidRDefault="0054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6CF3"/>
    <w:rsid w:val="00026D5F"/>
    <w:rsid w:val="000528BC"/>
    <w:rsid w:val="00054C1F"/>
    <w:rsid w:val="000578C5"/>
    <w:rsid w:val="000635C9"/>
    <w:rsid w:val="00065273"/>
    <w:rsid w:val="0006698D"/>
    <w:rsid w:val="00084150"/>
    <w:rsid w:val="000A0843"/>
    <w:rsid w:val="000A70CE"/>
    <w:rsid w:val="000C3470"/>
    <w:rsid w:val="000E417B"/>
    <w:rsid w:val="0012066E"/>
    <w:rsid w:val="00120838"/>
    <w:rsid w:val="0013772D"/>
    <w:rsid w:val="00186D39"/>
    <w:rsid w:val="001A4FB5"/>
    <w:rsid w:val="00200AD7"/>
    <w:rsid w:val="00221C33"/>
    <w:rsid w:val="002263B1"/>
    <w:rsid w:val="00252967"/>
    <w:rsid w:val="00260145"/>
    <w:rsid w:val="002725CD"/>
    <w:rsid w:val="002C75F7"/>
    <w:rsid w:val="002D062B"/>
    <w:rsid w:val="002F5C52"/>
    <w:rsid w:val="00300A60"/>
    <w:rsid w:val="00330722"/>
    <w:rsid w:val="003A0D96"/>
    <w:rsid w:val="003B15C5"/>
    <w:rsid w:val="003B2859"/>
    <w:rsid w:val="003E08BD"/>
    <w:rsid w:val="003F4B9D"/>
    <w:rsid w:val="00413DAA"/>
    <w:rsid w:val="0042657F"/>
    <w:rsid w:val="00433C23"/>
    <w:rsid w:val="00434174"/>
    <w:rsid w:val="00434C93"/>
    <w:rsid w:val="00444E77"/>
    <w:rsid w:val="00492DDA"/>
    <w:rsid w:val="004B674B"/>
    <w:rsid w:val="004C1445"/>
    <w:rsid w:val="00531170"/>
    <w:rsid w:val="00536000"/>
    <w:rsid w:val="00543546"/>
    <w:rsid w:val="00545DEF"/>
    <w:rsid w:val="005628CB"/>
    <w:rsid w:val="005832FE"/>
    <w:rsid w:val="00590EFF"/>
    <w:rsid w:val="005A7074"/>
    <w:rsid w:val="00617F87"/>
    <w:rsid w:val="00620FB8"/>
    <w:rsid w:val="00630FF1"/>
    <w:rsid w:val="00663703"/>
    <w:rsid w:val="00667CC4"/>
    <w:rsid w:val="00667DAE"/>
    <w:rsid w:val="0069269A"/>
    <w:rsid w:val="006A4469"/>
    <w:rsid w:val="006A53ED"/>
    <w:rsid w:val="006C776C"/>
    <w:rsid w:val="0074289B"/>
    <w:rsid w:val="007841B6"/>
    <w:rsid w:val="007A73BC"/>
    <w:rsid w:val="00803929"/>
    <w:rsid w:val="008041C2"/>
    <w:rsid w:val="008446DF"/>
    <w:rsid w:val="00863372"/>
    <w:rsid w:val="008A70B2"/>
    <w:rsid w:val="00930911"/>
    <w:rsid w:val="00934F1F"/>
    <w:rsid w:val="00960256"/>
    <w:rsid w:val="00967DAD"/>
    <w:rsid w:val="00981F36"/>
    <w:rsid w:val="00997632"/>
    <w:rsid w:val="009D5DC1"/>
    <w:rsid w:val="009F16C7"/>
    <w:rsid w:val="00A30A9B"/>
    <w:rsid w:val="00A56884"/>
    <w:rsid w:val="00A7042E"/>
    <w:rsid w:val="00A7602E"/>
    <w:rsid w:val="00AA1D7A"/>
    <w:rsid w:val="00AC0E2F"/>
    <w:rsid w:val="00AF1F33"/>
    <w:rsid w:val="00B176B3"/>
    <w:rsid w:val="00B20A97"/>
    <w:rsid w:val="00B4254E"/>
    <w:rsid w:val="00B57C0B"/>
    <w:rsid w:val="00B71955"/>
    <w:rsid w:val="00BC005B"/>
    <w:rsid w:val="00BE4464"/>
    <w:rsid w:val="00BF7C9C"/>
    <w:rsid w:val="00C02570"/>
    <w:rsid w:val="00C03831"/>
    <w:rsid w:val="00C526F8"/>
    <w:rsid w:val="00CC53F0"/>
    <w:rsid w:val="00D0738F"/>
    <w:rsid w:val="00D16CB5"/>
    <w:rsid w:val="00D179AD"/>
    <w:rsid w:val="00D2773F"/>
    <w:rsid w:val="00D36081"/>
    <w:rsid w:val="00D47EFF"/>
    <w:rsid w:val="00D5180E"/>
    <w:rsid w:val="00D5294D"/>
    <w:rsid w:val="00D941AC"/>
    <w:rsid w:val="00D97E69"/>
    <w:rsid w:val="00DA2C82"/>
    <w:rsid w:val="00DE7F1A"/>
    <w:rsid w:val="00E1052F"/>
    <w:rsid w:val="00E16A18"/>
    <w:rsid w:val="00E31371"/>
    <w:rsid w:val="00E54B0D"/>
    <w:rsid w:val="00EB1FD6"/>
    <w:rsid w:val="00EB761F"/>
    <w:rsid w:val="00ED00D0"/>
    <w:rsid w:val="00ED321A"/>
    <w:rsid w:val="00F32B79"/>
    <w:rsid w:val="00F8721B"/>
    <w:rsid w:val="00F95566"/>
    <w:rsid w:val="00FD3563"/>
    <w:rsid w:val="00FD754A"/>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D7909-B6B7-429A-BDD7-59F81548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940</Words>
  <Characters>5358</Characters>
  <Application>Microsoft Office Word</Application>
  <DocSecurity>0</DocSecurity>
  <Lines>44</Lines>
  <Paragraphs>12</Paragraphs>
  <ScaleCrop>false</ScaleCrop>
  <Company>微软中国</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56</cp:revision>
  <dcterms:created xsi:type="dcterms:W3CDTF">2019-11-20T02:44:00Z</dcterms:created>
  <dcterms:modified xsi:type="dcterms:W3CDTF">2023-07-05T02:52:00Z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