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7A15E02">
      <w:pPr>
        <w:jc w:val="center"/>
        <w:rPr>
          <w:rFonts w:hint="eastAsia" w:ascii="方正兰亭中黑_GBK" w:hAnsi="方正兰亭中黑_GBK" w:eastAsia="方正兰亭中黑_GBK" w:cs="方正兰亭中黑_GBK"/>
          <w:color w:val="3B3838" w:themeColor="background2" w:themeShade="40"/>
          <w:sz w:val="28"/>
          <w:szCs w:val="28"/>
          <w:lang w:eastAsia="zh-CN"/>
        </w:rPr>
      </w:pPr>
      <w:r>
        <w:rPr>
          <w:rFonts w:hint="eastAsia" w:ascii="Times New Roman" w:hAnsi="方正兰亭中黑_GBK" w:eastAsia="微软雅黑" w:cs="方正兰亭中黑_GBK"/>
          <w:color w:val="3B3838" w:themeColor="background2" w:themeShade="40"/>
          <w:kern w:val="2"/>
          <w:sz w:val="28"/>
          <w:szCs w:val="28"/>
          <w:lang w:val="en-US" w:eastAsia="zh-CN" w:bidi="ar-SA"/>
        </w:rPr>
        <w:t>T300-N540 Enterprise-Class Outdoor Digital Bridge</w:t>
      </w:r>
    </w:p>
    <w:p w14:paraId="1C1E227A">
      <w:pPr>
        <w:jc w:val="center"/>
        <w:rPr>
          <w:rFonts w:hint="eastAsia" w:ascii="方正兰亭中黑_GBK" w:hAnsi="方正兰亭中黑_GBK" w:eastAsia="方正兰亭中黑_GBK" w:cs="方正兰亭中黑_GBK"/>
          <w:color w:val="3B3838" w:themeColor="background2" w:themeShade="40"/>
          <w:sz w:val="28"/>
          <w:szCs w:val="28"/>
        </w:rPr>
      </w:pPr>
      <w:r>
        <w:drawing>
          <wp:inline distT="0" distB="0" distL="114300" distR="114300">
            <wp:extent cx="4381500" cy="3257550"/>
            <wp:effectExtent l="0" t="0" r="0" b="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4381500" cy="3257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9F85A1">
      <w:pPr>
        <w:spacing w:line="400" w:lineRule="exact"/>
        <w:ind w:firstLine="630" w:firstLineChars="300"/>
        <w:rPr>
          <w:rFonts w:hint="eastAsia" w:ascii="方正兰亭黑简体" w:hAnsi="方正兰亭黑简体" w:eastAsia="方正兰亭黑简体" w:cs="方正兰亭黑简体"/>
          <w:color w:val="727172"/>
          <w:szCs w:val="21"/>
          <w:lang w:eastAsia="zh-CN"/>
        </w:rPr>
      </w:pPr>
      <w:r>
        <w:rPr>
          <w:rFonts w:hint="eastAsia" w:ascii="Times New Roman" w:hAnsi="方正兰亭黑简体" w:eastAsia="微软雅黑" w:cs="方正兰亭黑简体"/>
          <w:color w:val="727172"/>
          <w:kern w:val="2"/>
          <w:sz w:val="21"/>
          <w:szCs w:val="21"/>
          <w:lang w:val="en-US" w:eastAsia="zh-CN" w:bidi="ar-SA"/>
        </w:rPr>
        <w:t xml:space="preserve">The T300-N540 is a high-performance enterprise-grade outdoor bridge product operating in the 5G frequency band and supporting 802.11ac technology. Its unique digital display pairing technology eliminates the need for a computer, enabling effortless pairing of point-to-point or point-to-multipoint (up to 8 devices) configurations. It features a 100 Mbps network interface and a 5G 802.11ac wireless processing speed of up to 450 Mbps. The power supply options are flexible, supporting either 24V PoE via network cable or 12V 1A </w:t>
      </w:r>
      <w:bookmarkStart w:id="0" w:name="_GoBack"/>
      <w:bookmarkEnd w:id="0"/>
      <w:r>
        <w:rPr>
          <w:rFonts w:hint="eastAsia" w:ascii="Times New Roman" w:hAnsi="方正兰亭黑简体" w:eastAsia="微软雅黑" w:cs="方正兰亭黑简体"/>
          <w:color w:val="727172"/>
          <w:kern w:val="2"/>
          <w:sz w:val="21"/>
          <w:szCs w:val="21"/>
          <w:lang w:val="en-US" w:eastAsia="zh-CN" w:bidi="ar-SA"/>
        </w:rPr>
        <w:t>DC local power supply; the network cable power supply range can reach 50–70 meters (depending on the cable material). The device features an outdoor-rated IP65 enclosure that provides protection against wind, rain, dust, and sunlight, making it well-suited for various harsh outdoor environments. It incorporates a built-in 14dBi high-gain, wide-beam directional planar antenna, ensuring simple and rapid installation. With its high performance, high gain, high reception sensitivity, and high bandwidth, the T300-N540 significantly enhances wireless transmission performance and stability, making it widely applicable for medium-and short-range video and data transmission.</w:t>
      </w:r>
    </w:p>
    <w:p w14:paraId="07AC8497"/>
    <w:p w14:paraId="3A7C8D85"/>
    <w:p w14:paraId="3519FE2B"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2468880</wp:posOffset>
                </wp:positionH>
                <wp:positionV relativeFrom="paragraph">
                  <wp:posOffset>1270</wp:posOffset>
                </wp:positionV>
                <wp:extent cx="2182495" cy="312420"/>
                <wp:effectExtent l="0" t="0" r="12065" b="762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2495" cy="31242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43D8FDE">
                            <w:pPr>
                              <w:spacing w:line="400" w:lineRule="exact"/>
                              <w:jc w:val="center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000000" w:themeColor="text1"/>
                                <w:sz w:val="24"/>
                                <w:highlight w:val="none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Times New Roman" w:hAnsi="方正兰亭黑简体" w:eastAsia="微软雅黑" w:cs="方正兰亭黑简体"/>
                                <w:b/>
                                <w:bCs/>
                                <w:color w:val="000000" w:themeColor="text1"/>
                                <w:kern w:val="2"/>
                                <w:sz w:val="24"/>
                                <w:szCs w:val="24"/>
                                <w:highlight w:val="no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Hardware Product Features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4.4pt;margin-top:0.1pt;height:24.6pt;width:171.85pt;z-index:251659264;mso-width-relative:page;mso-height-relative:page;" fillcolor="#00B050" filled="t" stroked="f" coordsize="21600,21600" o:gfxdata="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">
                <v:fill on="t" focussize="0,0"/>
                <v:stroke on="f" weight="1pt" miterlimit="8" joinstyle="miter"/>
                <v:imagedata o:title=""/>
                <o:lock v:ext="edit" aspectratio="f"/>
                <v:textbox inset="1mm,0mm,1mm,0mm">
                  <w:txbxContent>
                    <w:p w14:paraId="643D8FDE">
                      <w:pPr>
                        <w:spacing w:line="400" w:lineRule="exact"/>
                        <w:jc w:val="center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000000" w:themeColor="text1"/>
                          <w:sz w:val="24"/>
                          <w:highlight w:val="none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Times New Roman" w:hAnsi="方正兰亭黑简体" w:eastAsia="微软雅黑" w:cs="方正兰亭黑简体"/>
                          <w:b/>
                          <w:bCs/>
                          <w:color w:val="000000" w:themeColor="text1"/>
                          <w:kern w:val="2"/>
                          <w:sz w:val="24"/>
                          <w:szCs w:val="24"/>
                          <w:highlight w:val="no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Hardware Product Features</w:t>
                      </w:r>
                    </w:p>
                  </w:txbxContent>
                </v:textbox>
              </v:rect>
            </w:pict>
          </mc:Fallback>
        </mc:AlternateContent>
      </w:r>
    </w:p>
    <w:p w14:paraId="0EDF1A42"/>
    <w:p w14:paraId="1E24C300">
      <w:pPr>
        <w:snapToGrid w:val="0"/>
        <w:spacing w:line="600" w:lineRule="exact"/>
        <w:ind w:firstLine="240" w:firstLineChars="100"/>
        <w:jc w:val="left"/>
        <w:rPr>
          <w:rFonts w:hint="eastAsia" w:ascii="方正兰亭黑简体" w:hAnsi="方正兰亭黑简体" w:eastAsia="方正兰亭黑简体" w:cs="方正兰亭黑简体"/>
          <w:b w:val="0"/>
          <w:bCs w:val="0"/>
          <w:color w:val="3B3838" w:themeColor="background2" w:themeShade="40"/>
          <w:sz w:val="24"/>
          <w:lang w:eastAsia="zh-CN"/>
        </w:rPr>
      </w:pPr>
      <w:r>
        <w:rPr>
          <w:rFonts w:hint="eastAsia" w:ascii="Times New Roman" w:hAnsi="方正兰亭黑简体" w:eastAsia="微软雅黑" w:cs="方正兰亭黑简体"/>
          <w:b w:val="0"/>
          <w:bCs w:val="0"/>
          <w:color w:val="3B3838" w:themeColor="background2" w:themeShade="40"/>
          <w:kern w:val="2"/>
          <w:sz w:val="24"/>
          <w:szCs w:val="24"/>
          <w:lang w:val="en-US" w:eastAsia="zh-CN" w:bidi="ar-SA"/>
        </w:rPr>
        <w:t>Ultra-high cost-performance hardware configuration</w:t>
      </w:r>
    </w:p>
    <w:p w14:paraId="04643F28">
      <w:pPr>
        <w:spacing w:line="400" w:lineRule="exact"/>
        <w:rPr>
          <w:rFonts w:hint="eastAsia" w:ascii="方正兰亭黑简体" w:hAnsi="方正兰亭黑简体" w:eastAsia="方正兰亭黑简体" w:cs="方正兰亭黑简体"/>
          <w:color w:val="727172"/>
          <w:szCs w:val="21"/>
          <w:lang w:eastAsia="zh-CN"/>
        </w:rPr>
      </w:pPr>
      <w:r>
        <w:rPr>
          <w:rFonts w:hint="eastAsia" w:ascii="Times New Roman" w:hAnsi="方正兰亭黑简体" w:eastAsia="微软雅黑" w:cs="方正兰亭黑简体"/>
          <w:color w:val="727172"/>
          <w:kern w:val="2"/>
          <w:sz w:val="21"/>
          <w:szCs w:val="21"/>
          <w:lang w:val="en-US" w:eastAsia="zh-CN" w:bidi="ar-SA"/>
        </w:rPr>
        <w:t>This enterprise-grade main control chip features industrial-grade circuit design and supports the IEEE 802.11a/n/ac protocols, delivering a wireless access speed of 450 Mbps and an Ethernet switching processing speed of 10/100 Mbps. Its superior high-and low-temperature resistance ensures that network data can be transmitted in real time, over extended periods, with stability and high efficiency even under extreme environmental conditions, thereby enhancing the user experience.</w:t>
      </w:r>
    </w:p>
    <w:p w14:paraId="1E6E0163">
      <w:pPr>
        <w:snapToGrid w:val="0"/>
        <w:spacing w:line="600" w:lineRule="exact"/>
        <w:jc w:val="left"/>
        <w:rPr>
          <w:rFonts w:hint="eastAsia" w:ascii="方正兰亭黑简体" w:hAnsi="方正兰亭黑简体" w:eastAsia="方正兰亭黑简体" w:cs="方正兰亭黑简体"/>
          <w:b/>
          <w:bCs/>
          <w:color w:val="3B3838" w:themeColor="background2" w:themeShade="40"/>
          <w:sz w:val="24"/>
          <w:lang w:eastAsia="zh-CN"/>
        </w:rPr>
      </w:pPr>
      <w:r>
        <w:rPr>
          <w:rFonts w:hint="eastAsia" w:ascii="Times New Roman" w:hAnsi="方正兰亭黑简体" w:eastAsia="微软雅黑" w:cs="方正兰亭黑简体"/>
          <w:b/>
          <w:bCs/>
          <w:color w:val="3B3838" w:themeColor="background2" w:themeShade="40"/>
          <w:kern w:val="2"/>
          <w:sz w:val="24"/>
          <w:szCs w:val="24"/>
          <w:lang w:val="en-US" w:eastAsia="zh-CN" w:bidi="ar-SA"/>
        </w:rPr>
        <w:t>Powerful wireless transmission capabilities</w:t>
      </w:r>
    </w:p>
    <w:p w14:paraId="3008C198">
      <w:pPr>
        <w:spacing w:line="400" w:lineRule="exact"/>
        <w:rPr>
          <w:rFonts w:hint="eastAsia" w:ascii="方正兰亭黑简体" w:hAnsi="方正兰亭黑简体" w:eastAsia="方正兰亭黑简体" w:cs="方正兰亭黑简体"/>
          <w:color w:val="727172"/>
          <w:szCs w:val="21"/>
          <w:lang w:eastAsia="zh-CN"/>
        </w:rPr>
      </w:pPr>
      <w:r>
        <w:rPr>
          <w:rFonts w:hint="eastAsia" w:ascii="Times New Roman" w:hAnsi="方正兰亭黑简体" w:eastAsia="微软雅黑" w:cs="方正兰亭黑简体"/>
          <w:color w:val="727172"/>
          <w:kern w:val="2"/>
          <w:sz w:val="21"/>
          <w:szCs w:val="21"/>
          <w:lang w:val="en-US" w:eastAsia="zh-CN" w:bidi="ar-SA"/>
        </w:rPr>
        <w:t>The circuit design incorporates high power output and high reception sensitivity, combined with a high-gain directional planar antenna, which significantly extends the wireless transmission range and enhances both the performance and stability of the wireless transmission system.</w:t>
      </w:r>
    </w:p>
    <w:p w14:paraId="38CE13CD">
      <w:pPr>
        <w:spacing w:line="400" w:lineRule="exact"/>
        <w:rPr>
          <w:rFonts w:hint="eastAsia" w:ascii="方正兰亭黑简体" w:hAnsi="方正兰亭黑简体" w:eastAsia="方正兰亭黑简体" w:cs="方正兰亭黑简体"/>
          <w:b/>
          <w:bCs/>
          <w:color w:val="E60012"/>
          <w:sz w:val="24"/>
          <w:lang w:eastAsia="zh-CN"/>
        </w:rPr>
      </w:pPr>
      <w:r>
        <w:rPr>
          <w:rFonts w:hint="eastAsia" w:ascii="Times New Roman" w:hAnsi="方正兰亭黑简体" w:eastAsia="微软雅黑" w:cs="方正兰亭黑简体"/>
          <w:b/>
          <w:bCs/>
          <w:color w:val="3B3838" w:themeColor="background2" w:themeShade="40"/>
          <w:kern w:val="2"/>
          <w:sz w:val="24"/>
          <w:szCs w:val="24"/>
          <w:lang w:val="en-US" w:eastAsia="zh-CN" w:bidi="ar-SA"/>
        </w:rPr>
        <w:t>Simple and efficient pairing</w:t>
      </w:r>
    </w:p>
    <w:p w14:paraId="754F4D06">
      <w:pPr>
        <w:spacing w:line="400" w:lineRule="exact"/>
        <w:rPr>
          <w:rFonts w:hint="eastAsia" w:ascii="方正兰亭黑简体" w:hAnsi="方正兰亭黑简体" w:eastAsia="方正兰亭黑简体" w:cs="方正兰亭黑简体"/>
          <w:color w:val="727172"/>
          <w:szCs w:val="21"/>
          <w:lang w:eastAsia="zh-CN"/>
        </w:rPr>
      </w:pPr>
      <w:r>
        <w:rPr>
          <w:rFonts w:hint="eastAsia" w:ascii="Times New Roman" w:hAnsi="方正兰亭黑简体" w:eastAsia="微软雅黑" w:cs="方正兰亭黑简体"/>
          <w:color w:val="727172"/>
          <w:kern w:val="2"/>
          <w:sz w:val="21"/>
          <w:szCs w:val="21"/>
          <w:lang w:val="en-US" w:eastAsia="zh-CN" w:bidi="ar-SA"/>
        </w:rPr>
        <w:t>No network expertise or computer operation is required; simply dial in the codes and adjust the digital display of both master and slave devices to match the same value to complete the point-to-point or point-to-multipoint (up to 8 devices) pairing process.</w:t>
      </w:r>
    </w:p>
    <w:p w14:paraId="293F46CE">
      <w:pPr>
        <w:spacing w:line="400" w:lineRule="exact"/>
        <w:rPr>
          <w:rFonts w:hint="eastAsia" w:ascii="方正兰亭黑简体" w:hAnsi="方正兰亭黑简体" w:eastAsia="方正兰亭黑简体" w:cs="方正兰亭黑简体"/>
          <w:b/>
          <w:bCs/>
          <w:color w:val="3B3838" w:themeColor="background2" w:themeShade="40"/>
          <w:sz w:val="24"/>
          <w:lang w:eastAsia="zh-CN"/>
        </w:rPr>
      </w:pPr>
      <w:r>
        <w:rPr>
          <w:rFonts w:hint="eastAsia" w:ascii="Times New Roman" w:hAnsi="方正兰亭黑简体" w:eastAsia="微软雅黑" w:cs="方正兰亭黑简体"/>
          <w:b/>
          <w:bCs/>
          <w:color w:val="3B3838" w:themeColor="background2" w:themeShade="40"/>
          <w:kern w:val="2"/>
          <w:sz w:val="24"/>
          <w:szCs w:val="24"/>
          <w:lang w:val="en-US" w:eastAsia="zh-CN" w:bidi="ar-SA"/>
        </w:rPr>
        <w:t>Flexible power supply options</w:t>
      </w:r>
    </w:p>
    <w:p w14:paraId="2422CF7A">
      <w:pPr>
        <w:spacing w:line="400" w:lineRule="exact"/>
        <w:rPr>
          <w:rFonts w:hint="eastAsia" w:ascii="方正兰亭黑简体" w:hAnsi="方正兰亭黑简体" w:eastAsia="方正兰亭黑简体" w:cs="方正兰亭黑简体"/>
          <w:color w:val="727172"/>
          <w:szCs w:val="21"/>
          <w:lang w:eastAsia="zh-CN"/>
        </w:rPr>
      </w:pPr>
      <w:r>
        <w:rPr>
          <w:rFonts w:hint="eastAsia" w:ascii="Times New Roman" w:hAnsi="方正兰亭黑简体" w:eastAsia="微软雅黑" w:cs="方正兰亭黑简体"/>
          <w:color w:val="727172"/>
          <w:kern w:val="2"/>
          <w:sz w:val="21"/>
          <w:szCs w:val="21"/>
          <w:lang w:val="en-US" w:eastAsia="zh-CN" w:bidi="ar-SA"/>
        </w:rPr>
        <w:t>The equipment not only supports PoE remote power-over-network cable供电, but also supports a 12V 1A DC local connection power supply method, meeting the requirements of various scenarios, reducing construction costs, and providing flexible options for power supply methods.</w:t>
      </w:r>
    </w:p>
    <w:p w14:paraId="5AF9E8D6">
      <w:pPr>
        <w:snapToGrid w:val="0"/>
        <w:spacing w:line="600" w:lineRule="exact"/>
        <w:jc w:val="left"/>
        <w:rPr>
          <w:rFonts w:hint="eastAsia" w:ascii="方正兰亭黑简体" w:hAnsi="方正兰亭黑简体" w:eastAsia="方正兰亭黑简体" w:cs="方正兰亭黑简体"/>
          <w:b/>
          <w:bCs/>
          <w:color w:val="E60012"/>
          <w:sz w:val="24"/>
          <w:lang w:eastAsia="zh-CN"/>
        </w:rPr>
      </w:pPr>
      <w:r>
        <w:rPr>
          <w:rFonts w:hint="eastAsia" w:ascii="Times New Roman" w:hAnsi="方正兰亭黑简体" w:eastAsia="微软雅黑" w:cs="方正兰亭黑简体"/>
          <w:b/>
          <w:bCs/>
          <w:color w:val="3B3838" w:themeColor="background2" w:themeShade="40"/>
          <w:kern w:val="2"/>
          <w:sz w:val="24"/>
          <w:szCs w:val="24"/>
          <w:lang w:val="en-US" w:eastAsia="zh-CN" w:bidi="ar-SA"/>
        </w:rPr>
        <w:t>Compact in size and easy to install.</w:t>
      </w:r>
    </w:p>
    <w:p w14:paraId="3D7FC983">
      <w:pPr>
        <w:spacing w:line="400" w:lineRule="exact"/>
        <w:rPr>
          <w:rFonts w:hint="eastAsia" w:ascii="方正兰亭黑简体" w:hAnsi="方正兰亭黑简体" w:eastAsia="方正兰亭黑简体" w:cs="方正兰亭黑简体"/>
          <w:color w:val="727172"/>
          <w:szCs w:val="21"/>
          <w:lang w:eastAsia="zh-CN"/>
        </w:rPr>
      </w:pPr>
      <w:r>
        <w:rPr>
          <w:rFonts w:hint="eastAsia" w:ascii="Times New Roman" w:hAnsi="方正兰亭黑简体" w:eastAsia="微软雅黑" w:cs="方正兰亭黑简体"/>
          <w:color w:val="727172"/>
          <w:kern w:val="2"/>
          <w:sz w:val="21"/>
          <w:szCs w:val="21"/>
          <w:lang w:val="en-US" w:eastAsia="zh-CN" w:bidi="ar-SA"/>
        </w:rPr>
        <w:t>The device features a stylish and compact design with flexible and simple installation options, supporting both wall-mounted and pole-mounted installation methods. Without compromising the original design, it significantly reduces the installation difficulty for construction personnel and enhances overall construction efficiency.</w:t>
      </w:r>
    </w:p>
    <w:p w14:paraId="346652B0">
      <w:pPr>
        <w:spacing w:line="400" w:lineRule="exact"/>
        <w:rPr>
          <w:rFonts w:ascii="方正兰亭黑简体" w:hAnsi="方正兰亭黑简体" w:eastAsia="方正兰亭黑简体" w:cs="方正兰亭黑简体"/>
          <w:color w:val="727172"/>
          <w:szCs w:val="21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-2540</wp:posOffset>
                </wp:positionH>
                <wp:positionV relativeFrom="paragraph">
                  <wp:posOffset>237490</wp:posOffset>
                </wp:positionV>
                <wp:extent cx="1397000" cy="321310"/>
                <wp:effectExtent l="0" t="0" r="5080" b="13970"/>
                <wp:wrapNone/>
                <wp:docPr id="10" name="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7000" cy="321310"/>
                        </a:xfrm>
                        <a:prstGeom prst="rect">
                          <a:avLst/>
                        </a:prstGeom>
                        <a:solidFill>
                          <a:srgbClr val="00B05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250756">
                            <w:pPr>
                              <w:spacing w:line="400" w:lineRule="exact"/>
                              <w:jc w:val="center"/>
                              <w:rPr>
                                <w:rFonts w:hint="eastAsia" w:ascii="方正兰亭黑简体" w:hAnsi="方正兰亭黑简体" w:eastAsia="方正兰亭黑简体" w:cs="方正兰亭黑简体"/>
                                <w:b/>
                                <w:bCs/>
                                <w:color w:val="5B9BD5" w:themeColor="accent1"/>
                                <w:sz w:val="24"/>
                                <w:highlight w:val="none"/>
                                <w:lang w:eastAsia="zh-CN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accent1"/>
                                  </w14:solidFill>
                                </w14:textFill>
                                <w14:props3d w14:extrusionH="0" w14:contourW="0" w14:prstMaterial="clear"/>
                              </w:rPr>
                            </w:pPr>
                            <w:r>
                              <w:rPr>
                                <w:rFonts w:hint="eastAsia" w:ascii="Times New Roman" w:hAnsi="方正兰亭黑简体" w:eastAsia="微软雅黑" w:cs="方正兰亭黑简体"/>
                                <w:b/>
                                <w:bCs/>
                                <w:color w:val="000000" w:themeColor="text1"/>
                                <w:kern w:val="2"/>
                                <w:sz w:val="24"/>
                                <w:szCs w:val="24"/>
                                <w:highlight w:val="none"/>
                                <w:lang w:val="en-US" w:eastAsia="zh-CN" w:bidi="ar-SA"/>
                                <w14:glow w14:rad="0">
                                  <w14:srgbClr w14:val="000000"/>
                                </w14:glow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reflection w14:blurRad="0" w14:stA="0" w14:stPos="0" w14:endA="0" w14:endPos="0" w14:dist="0" w14:dir="0" w14:fadeDir="0" w14:sx="0" w14:sy="0" w14:kx="0" w14:ky="0" w14:algn="none"/>
                                <w14:textFill>
                                  <w14:solidFill>
                                    <w14:schemeClr w14:val="tx1"/>
                                  </w14:solidFill>
                                </w14:textFill>
                                <w14:props3d w14:extrusionH="0" w14:contourW="0" w14:prstMaterial="clear"/>
                              </w:rPr>
                              <w:t>Software Features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36000" tIns="0" rIns="36000" bIns="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0.2pt;margin-top:18.7pt;height:25.3pt;width:110pt;z-index:251660288;mso-width-relative:page;mso-height-relative:page;" fillcolor="#00B050" filled="t" stroked="f" coordsize="21600,21600" o:gfxdata="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">
                <v:fill on="t" focussize="0,0"/>
                <v:stroke on="f" weight="1pt" miterlimit="8" joinstyle="miter"/>
                <v:imagedata o:title=""/>
                <o:lock v:ext="edit" aspectratio="f"/>
                <v:textbox inset="1mm,0mm,1mm,0mm">
                  <w:txbxContent>
                    <w:p w14:paraId="11250756">
                      <w:pPr>
                        <w:spacing w:line="400" w:lineRule="exact"/>
                        <w:jc w:val="center"/>
                        <w:rPr>
                          <w:rFonts w:hint="eastAsia" w:ascii="方正兰亭黑简体" w:hAnsi="方正兰亭黑简体" w:eastAsia="方正兰亭黑简体" w:cs="方正兰亭黑简体"/>
                          <w:b/>
                          <w:bCs/>
                          <w:color w:val="5B9BD5" w:themeColor="accent1"/>
                          <w:sz w:val="24"/>
                          <w:highlight w:val="none"/>
                          <w:lang w:eastAsia="zh-CN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accent1"/>
                            </w14:solidFill>
                          </w14:textFill>
                          <w14:props3d w14:extrusionH="0" w14:contourW="0" w14:prstMaterial="clear"/>
                        </w:rPr>
                      </w:pPr>
                      <w:r>
                        <w:rPr>
                          <w:rFonts w:hint="eastAsia" w:ascii="Times New Roman" w:hAnsi="方正兰亭黑简体" w:eastAsia="微软雅黑" w:cs="方正兰亭黑简体"/>
                          <w:b/>
                          <w:bCs/>
                          <w:color w:val="000000" w:themeColor="text1"/>
                          <w:kern w:val="2"/>
                          <w:sz w:val="24"/>
                          <w:szCs w:val="24"/>
                          <w:highlight w:val="none"/>
                          <w:lang w:val="en-US" w:eastAsia="zh-CN" w:bidi="ar-SA"/>
                          <w14:glow w14:rad="0">
                            <w14:srgbClr w14:val="000000"/>
                          </w14:glow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reflection w14:blurRad="0" w14:stA="0" w14:stPos="0" w14:endA="0" w14:endPos="0" w14:dist="0" w14:dir="0" w14:fadeDir="0" w14:sx="0" w14:sy="0" w14:kx="0" w14:ky="0" w14:algn="none"/>
                          <w14:textFill>
                            <w14:solidFill>
                              <w14:schemeClr w14:val="tx1"/>
                            </w14:solidFill>
                          </w14:textFill>
                          <w14:props3d w14:extrusionH="0" w14:contourW="0" w14:prstMaterial="clear"/>
                        </w:rPr>
                        <w:t>Software Features</w:t>
                      </w:r>
                    </w:p>
                  </w:txbxContent>
                </v:textbox>
              </v:rect>
            </w:pict>
          </mc:Fallback>
        </mc:AlternateContent>
      </w:r>
    </w:p>
    <w:p w14:paraId="4A655CB2"/>
    <w:p w14:paraId="1F8F7782">
      <w:pPr>
        <w:spacing w:line="400" w:lineRule="exact"/>
        <w:rPr>
          <w:rFonts w:ascii="方正兰亭黑简体" w:hAnsi="方正兰亭黑简体" w:eastAsia="方正兰亭黑简体" w:cs="方正兰亭黑简体"/>
          <w:color w:val="727172"/>
          <w:szCs w:val="21"/>
        </w:rPr>
      </w:pPr>
    </w:p>
    <w:p w14:paraId="484DFF09">
      <w:pPr>
        <w:snapToGrid w:val="0"/>
        <w:spacing w:line="600" w:lineRule="exact"/>
        <w:jc w:val="left"/>
        <w:rPr>
          <w:rFonts w:hint="eastAsia" w:ascii="方正兰亭黑简体" w:hAnsi="方正兰亭黑简体" w:eastAsia="方正兰亭黑简体" w:cs="方正兰亭黑简体"/>
          <w:b/>
          <w:bCs/>
          <w:color w:val="E60012"/>
          <w:sz w:val="24"/>
          <w:lang w:eastAsia="zh-CN"/>
        </w:rPr>
      </w:pPr>
      <w:r>
        <w:rPr>
          <w:rFonts w:hint="eastAsia" w:ascii="Times New Roman" w:hAnsi="方正兰亭黑简体" w:eastAsia="微软雅黑" w:cs="方正兰亭黑简体"/>
          <w:b/>
          <w:bCs/>
          <w:color w:val="3B3838" w:themeColor="background2" w:themeShade="40"/>
          <w:kern w:val="2"/>
          <w:sz w:val="24"/>
          <w:szCs w:val="24"/>
          <w:lang w:val="en-US" w:eastAsia="zh-CN" w:bidi="ar-SA"/>
        </w:rPr>
        <w:t>Clear and easy-to-understand overview of the equipment</w:t>
      </w:r>
    </w:p>
    <w:p w14:paraId="4D8E5BDD">
      <w:pPr>
        <w:spacing w:line="400" w:lineRule="exact"/>
        <w:rPr>
          <w:rFonts w:hint="eastAsia" w:ascii="方正兰亭黑简体" w:hAnsi="方正兰亭黑简体" w:eastAsia="方正兰亭黑简体" w:cs="方正兰亭黑简体"/>
          <w:color w:val="727172"/>
          <w:szCs w:val="21"/>
          <w:lang w:eastAsia="zh-CN"/>
        </w:rPr>
      </w:pPr>
      <w:r>
        <w:rPr>
          <w:rFonts w:hint="eastAsia" w:ascii="Times New Roman" w:hAnsi="方正兰亭黑简体" w:eastAsia="微软雅黑" w:cs="方正兰亭黑简体"/>
          <w:color w:val="727172"/>
          <w:kern w:val="2"/>
          <w:sz w:val="21"/>
          <w:szCs w:val="21"/>
          <w:lang w:val="en-US" w:eastAsia="zh-CN" w:bidi="ar-SA"/>
        </w:rPr>
        <w:t>By logging in via a web browser on the device, users can view real-time information regarding the system status, bridge status, and interface status; the simple and intuitive interface enables users to stay informed about the device's operating status in real time.</w:t>
      </w:r>
    </w:p>
    <w:p w14:paraId="2929AC74">
      <w:pPr>
        <w:snapToGrid w:val="0"/>
        <w:spacing w:line="600" w:lineRule="exact"/>
        <w:jc w:val="left"/>
        <w:rPr>
          <w:rFonts w:hint="eastAsia" w:ascii="方正兰亭黑简体" w:hAnsi="方正兰亭黑简体" w:eastAsia="方正兰亭黑简体" w:cs="方正兰亭黑简体"/>
          <w:b/>
          <w:bCs/>
          <w:color w:val="E60012"/>
          <w:sz w:val="24"/>
          <w:lang w:eastAsia="zh-CN"/>
        </w:rPr>
      </w:pPr>
      <w:r>
        <w:rPr>
          <w:rFonts w:hint="eastAsia" w:ascii="Times New Roman" w:hAnsi="方正兰亭黑简体" w:eastAsia="微软雅黑" w:cs="方正兰亭黑简体"/>
          <w:b/>
          <w:bCs/>
          <w:color w:val="3B3838" w:themeColor="background2" w:themeShade="40"/>
          <w:kern w:val="2"/>
          <w:sz w:val="24"/>
          <w:szCs w:val="24"/>
          <w:lang w:val="en-US" w:eastAsia="zh-CN" w:bidi="ar-SA"/>
        </w:rPr>
        <w:t>Easy One-Step Quick Setup &amp; Powerful Wireless Optimization</w:t>
      </w:r>
    </w:p>
    <w:p w14:paraId="26B917E8">
      <w:pPr>
        <w:spacing w:line="400" w:lineRule="exact"/>
        <w:rPr>
          <w:rFonts w:hint="eastAsia" w:ascii="方正兰亭黑简体" w:hAnsi="方正兰亭黑简体" w:eastAsia="方正兰亭黑简体" w:cs="方正兰亭黑简体"/>
          <w:color w:val="727172"/>
          <w:szCs w:val="21"/>
          <w:lang w:eastAsia="zh-CN"/>
        </w:rPr>
      </w:pPr>
      <w:r>
        <w:rPr>
          <w:rFonts w:hint="eastAsia" w:ascii="Times New Roman" w:hAnsi="方正兰亭黑简体" w:eastAsia="微软雅黑" w:cs="方正兰亭黑简体"/>
          <w:color w:val="727172"/>
          <w:kern w:val="2"/>
          <w:sz w:val="21"/>
          <w:szCs w:val="21"/>
          <w:lang w:val="en-US" w:eastAsia="zh-CN" w:bidi="ar-SA"/>
        </w:rPr>
        <w:t>Users do not need extensive knowledge of wireless technology or specialized expertise; just a few simple steps can enable pairing between point-to-point and point-to-multipoint (up to 8 devices) configurations. With straightforward setup, wireless optimization can be achieved, effortlessly enhancing link transmission quality and overall user experience.</w:t>
      </w:r>
    </w:p>
    <w:p w14:paraId="2AA25DDA">
      <w:pPr>
        <w:snapToGrid w:val="0"/>
        <w:spacing w:line="600" w:lineRule="exact"/>
        <w:jc w:val="left"/>
        <w:rPr>
          <w:rFonts w:hint="eastAsia" w:ascii="方正兰亭黑简体" w:hAnsi="方正兰亭黑简体" w:eastAsia="方正兰亭黑简体" w:cs="方正兰亭黑简体"/>
          <w:b/>
          <w:bCs/>
          <w:color w:val="E60012"/>
          <w:sz w:val="24"/>
          <w:lang w:eastAsia="zh-CN"/>
        </w:rPr>
      </w:pPr>
      <w:r>
        <w:rPr>
          <w:rFonts w:hint="eastAsia" w:ascii="Times New Roman" w:hAnsi="方正兰亭黑简体" w:eastAsia="微软雅黑" w:cs="方正兰亭黑简体"/>
          <w:b/>
          <w:bCs/>
          <w:color w:val="3B3838" w:themeColor="background2" w:themeShade="40"/>
          <w:kern w:val="2"/>
          <w:sz w:val="24"/>
          <w:szCs w:val="24"/>
          <w:lang w:val="en-US" w:eastAsia="zh-CN" w:bidi="ar-SA"/>
        </w:rPr>
        <w:t>Always ensuring users' network security</w:t>
      </w:r>
    </w:p>
    <w:p w14:paraId="7C8086CC">
      <w:pPr>
        <w:spacing w:line="400" w:lineRule="exact"/>
        <w:rPr>
          <w:rFonts w:hint="eastAsia" w:ascii="方正兰亭黑简体" w:hAnsi="方正兰亭黑简体" w:eastAsia="方正兰亭黑简体" w:cs="方正兰亭黑简体"/>
          <w:color w:val="727172"/>
          <w:szCs w:val="21"/>
          <w:lang w:eastAsia="zh-CN"/>
        </w:rPr>
      </w:pPr>
      <w:r>
        <w:rPr>
          <w:rFonts w:hint="eastAsia" w:ascii="Times New Roman" w:hAnsi="方正兰亭黑简体" w:eastAsia="微软雅黑" w:cs="方正兰亭黑简体"/>
          <w:color w:val="727172"/>
          <w:kern w:val="2"/>
          <w:sz w:val="21"/>
          <w:szCs w:val="21"/>
          <w:lang w:val="en-US" w:eastAsia="zh-CN" w:bidi="ar-SA"/>
        </w:rPr>
        <w:t>All device bridging signals utilize advanced WPA-PSK and WPA2-PSK encryption protocols; by default, these bridging signals are hidden, thereby consistently safeguarding users' networks against hacker attacks and ensuring the security of their data.</w:t>
      </w:r>
    </w:p>
    <w:p w14:paraId="2AB9CAD2">
      <w:pPr>
        <w:snapToGrid w:val="0"/>
        <w:spacing w:line="600" w:lineRule="exact"/>
        <w:jc w:val="left"/>
        <w:rPr>
          <w:rFonts w:hint="eastAsia" w:ascii="方正兰亭黑简体" w:hAnsi="方正兰亭黑简体" w:eastAsia="方正兰亭黑简体" w:cs="方正兰亭黑简体"/>
          <w:b/>
          <w:bCs/>
          <w:color w:val="E60012"/>
          <w:sz w:val="24"/>
          <w:lang w:eastAsia="zh-CN"/>
        </w:rPr>
      </w:pPr>
      <w:r>
        <w:rPr>
          <w:rFonts w:hint="eastAsia" w:ascii="Times New Roman" w:hAnsi="方正兰亭黑简体" w:eastAsia="微软雅黑" w:cs="方正兰亭黑简体"/>
          <w:b/>
          <w:bCs/>
          <w:color w:val="3B3838" w:themeColor="background2" w:themeShade="40"/>
          <w:kern w:val="2"/>
          <w:sz w:val="24"/>
          <w:szCs w:val="24"/>
          <w:lang w:val="en-US" w:eastAsia="zh-CN" w:bidi="ar-SA"/>
        </w:rPr>
        <w:t>Simple and efficient system configuration functionality</w:t>
      </w:r>
    </w:p>
    <w:p w14:paraId="0D6FB846">
      <w:pPr>
        <w:spacing w:line="400" w:lineRule="exact"/>
        <w:rPr>
          <w:rFonts w:hint="eastAsia" w:eastAsiaTheme="minorEastAsia"/>
          <w:lang w:eastAsia="zh-CN"/>
        </w:rPr>
      </w:pPr>
      <w:r>
        <w:rPr>
          <w:rFonts w:hint="eastAsia" w:ascii="Times New Roman" w:eastAsia="微软雅黑" w:hAnsiTheme="minorHAnsi" w:cstheme="minorBidi"/>
          <w:kern w:val="2"/>
          <w:sz w:val="21"/>
          <w:szCs w:val="24"/>
          <w:lang w:val="en-US" w:eastAsia="zh-CN" w:bidi="ar-SA"/>
        </w:rPr>
        <w:t>Features such as password modification, factory reset, and local firmware upgrade provide straightforward functionality that enables you to easily complete device system configurations and enhance the device's robustness.</w:t>
      </w:r>
    </w:p>
    <w:p w14:paraId="7E29725E">
      <w:pPr>
        <w:spacing w:line="480" w:lineRule="auto"/>
        <w:ind w:firstLine="4480" w:firstLineChars="1600"/>
        <w:jc w:val="both"/>
        <w:rPr>
          <w:rFonts w:hint="eastAsia" w:ascii="方正兰亭中黑_GBK" w:hAnsi="方正兰亭中黑_GBK" w:eastAsia="方正兰亭中黑_GBK" w:cs="方正兰亭中黑_GBK"/>
          <w:color w:val="3B3838" w:themeColor="background2" w:themeShade="40"/>
          <w:sz w:val="28"/>
          <w:szCs w:val="28"/>
          <w:lang w:eastAsia="zh-CN"/>
        </w:rPr>
      </w:pPr>
      <w:r>
        <w:rPr>
          <w:rFonts w:hint="eastAsia" w:ascii="Times New Roman" w:hAnsi="方正兰亭中黑_GBK" w:eastAsia="微软雅黑" w:cs="方正兰亭中黑_GBK"/>
          <w:color w:val="3B3838" w:themeColor="background2" w:themeShade="40"/>
          <w:kern w:val="2"/>
          <w:sz w:val="28"/>
          <w:szCs w:val="28"/>
          <w:lang w:val="en-US" w:eastAsia="zh-CN" w:bidi="ar-SA"/>
        </w:rPr>
        <w:t>Product Technical Specifications</w:t>
      </w:r>
    </w:p>
    <w:tbl>
      <w:tblPr>
        <w:tblStyle w:val="6"/>
        <w:tblW w:w="11019" w:type="dxa"/>
        <w:tblInd w:w="0" w:type="dxa"/>
        <w:tblBorders>
          <w:top w:val="single" w:color="E7E6E6" w:themeColor="background2" w:sz="4" w:space="0"/>
          <w:left w:val="single" w:color="E7E6E6" w:themeColor="background2" w:sz="4" w:space="0"/>
          <w:bottom w:val="single" w:color="E7E6E6" w:themeColor="background2" w:sz="4" w:space="0"/>
          <w:right w:val="single" w:color="E7E6E6" w:themeColor="background2" w:sz="4" w:space="0"/>
          <w:insideH w:val="single" w:color="E7E6E6" w:themeColor="background2" w:sz="4" w:space="0"/>
          <w:insideV w:val="single" w:color="E7E6E6" w:themeColor="background2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7925"/>
      </w:tblGrid>
      <w:tr w14:paraId="75904714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" w:hRule="atLeast"/>
        </w:trPr>
        <w:tc>
          <w:tcPr>
            <w:tcW w:w="3094" w:type="dxa"/>
            <w:tcBorders>
              <w:tl2br w:val="nil"/>
              <w:tr2bl w:val="nil"/>
            </w:tcBorders>
            <w:shd w:val="clear" w:color="auto" w:fill="92D050"/>
            <w:vAlign w:val="center"/>
          </w:tcPr>
          <w:p w14:paraId="7A785DF1">
            <w:pPr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FFFFFF" w:themeColor="background1"/>
                <w:szCs w:val="21"/>
                <w:highlight w:val="red"/>
                <w:lang w:eastAsia="zh-CN"/>
                <w14:textFill>
                  <w14:noFill/>
                </w14:textFill>
              </w:rPr>
            </w:pPr>
            <w:r>
              <w:rPr>
                <w:rFonts w:hint="eastAsia" w:ascii="Times New Roman" w:hAnsi="方正兰亭黑简体" w:eastAsia="微软雅黑" w:cs="方正兰亭黑简体"/>
                <w:color w:val="FFFFFF" w:themeColor="background1"/>
                <w:kern w:val="2"/>
                <w:sz w:val="21"/>
                <w:szCs w:val="21"/>
                <w:lang w:val="en-US" w:eastAsia="zh-CN" w:bidi="ar-SA"/>
                <w14:textFill>
                  <w14:solidFill>
                    <w14:schemeClr w14:val="bg1"/>
                  </w14:solidFill>
                </w14:textFill>
              </w:rPr>
              <w:t>Product Parameter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92D050"/>
            <w:vAlign w:val="center"/>
          </w:tcPr>
          <w:p w14:paraId="61BD2C1D"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ascii="方正兰亭黑简体" w:hAnsi="方正兰亭黑简体" w:eastAsia="方正兰亭黑简体" w:cs="方正兰亭黑简体"/>
                <w:color w:val="00B050"/>
                <w:szCs w:val="21"/>
                <w:highlight w:val="red"/>
              </w:rPr>
            </w:pPr>
          </w:p>
        </w:tc>
      </w:tr>
      <w:tr w14:paraId="52E6ED53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C3DC8D4">
            <w:pPr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b/>
                <w:bCs/>
                <w:color w:val="727172"/>
                <w:kern w:val="2"/>
                <w:sz w:val="21"/>
                <w:szCs w:val="21"/>
                <w:lang w:val="en-US" w:eastAsia="zh-CN" w:bidi="ar-SA"/>
              </w:rPr>
              <w:t>hardware configuration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0AABAB"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ascii="方正兰亭黑简体" w:hAnsi="方正兰亭黑简体" w:eastAsia="方正兰亭黑简体" w:cs="方正兰亭黑简体"/>
                <w:color w:val="727172"/>
                <w:szCs w:val="21"/>
              </w:rPr>
            </w:pPr>
          </w:p>
        </w:tc>
      </w:tr>
      <w:tr w14:paraId="016B7A47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96F40D9">
            <w:pPr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model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0E5C410"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hint="default" w:ascii="方正兰亭黑简体" w:hAnsi="方正兰亭黑简体" w:eastAsia="方正兰亭黑简体" w:cs="方正兰亭黑简体"/>
                <w:color w:val="727172"/>
                <w:szCs w:val="21"/>
                <w:lang w:val="en-US"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T300-N540</w:t>
            </w:r>
          </w:p>
        </w:tc>
      </w:tr>
      <w:tr w14:paraId="78666A1F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67BD7A">
            <w:pPr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Main Chip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5325115"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MTK7628KN + 7610E: High-performance enterprise-grade chip with 450 Mbps throughput</w:t>
            </w:r>
          </w:p>
        </w:tc>
      </w:tr>
      <w:tr w14:paraId="07425EF2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275F798">
            <w:pPr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basic frequency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A025B4C"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580MHz MIPS® 24KEc™ Central Processing Unit</w:t>
            </w:r>
          </w:p>
        </w:tc>
      </w:tr>
      <w:tr w14:paraId="675CCA7E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35DE1AC">
            <w:pPr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Wireless Technology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EE40BBA"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5G:450 MHz, 802.11a/n/ac, 1T1R technology</w:t>
            </w:r>
          </w:p>
        </w:tc>
      </w:tr>
      <w:tr w14:paraId="43ECD7DA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 w14:paraId="7E7A62EB">
            <w:pPr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Memory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vAlign w:val="center"/>
          </w:tcPr>
          <w:p w14:paraId="40AD56D7">
            <w:pPr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1MB DDR RAM</w:t>
            </w:r>
          </w:p>
        </w:tc>
      </w:tr>
      <w:tr w14:paraId="6AB858C3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1C3403C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Flash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52869D2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8MB</w:t>
            </w:r>
          </w:p>
        </w:tc>
      </w:tr>
      <w:tr w14:paraId="36C635FE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806E7E1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Button/Switch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D25CFD8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1* Digital switch/reset button: Short press to increment the displayed value; long press for 5 seconds to restore factory settings</w:t>
            </w:r>
          </w:p>
          <w:p w14:paraId="1CFBF72D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Master/Slave jumper switch: "Master" selects the Access Point mode; "Slave" selects the Client mode.</w:t>
            </w:r>
          </w:p>
        </w:tc>
      </w:tr>
      <w:tr w14:paraId="44ADF8AC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 w14:paraId="2021C524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pilot lamp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vAlign w:val="center"/>
          </w:tcPr>
          <w:p w14:paraId="1B5F9B02">
            <w:pPr>
              <w:shd w:val="clear" w:fill="FFFFFF" w:themeFill="background1"/>
              <w:snapToGrid w:val="0"/>
              <w:spacing w:line="440" w:lineRule="exact"/>
              <w:ind w:left="420" w:left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Signal SIG indicator light, ETH network interface status indicator light, power indicator light, system indicator light, and seven-segment display indicator light</w:t>
            </w:r>
          </w:p>
        </w:tc>
      </w:tr>
      <w:tr w14:paraId="707B4DEF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6A33F41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source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BEBFE5D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Non-standard PoE power supply: 24V,1A;</w:t>
            </w:r>
          </w:p>
          <w:p w14:paraId="5A133A13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DC 12V,1A; Power consumption &lt;10W</w:t>
            </w:r>
          </w:p>
        </w:tc>
      </w:tr>
      <w:tr w14:paraId="38C76A44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 w14:paraId="251822D6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work environment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vAlign w:val="center"/>
          </w:tcPr>
          <w:p w14:paraId="04F36B27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Temperature: -30°C to +55°C (operating), -40°C to +70°C (storage)</w:t>
            </w:r>
          </w:p>
          <w:p w14:paraId="062733A5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Humidity (non-condensing): 10%–90% (operating), 5%–95% (storage)</w:t>
            </w:r>
          </w:p>
        </w:tc>
      </w:tr>
      <w:tr w14:paraId="39DE36BB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990E93B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product size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BCE631D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285mm*98mm*98mm</w:t>
            </w:r>
          </w:p>
        </w:tc>
      </w:tr>
      <w:tr w14:paraId="7694386F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vAlign w:val="center"/>
          </w:tcPr>
          <w:p w14:paraId="60E36B1D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Product Weight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vAlign w:val="center"/>
          </w:tcPr>
          <w:p w14:paraId="3F197AAF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N/A</w:t>
            </w:r>
          </w:p>
        </w:tc>
      </w:tr>
      <w:tr w14:paraId="25B5BDCC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5AB0831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antenna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70C75F3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Equipped with a built-in high-gain 14 dBi directional panel antenna (horizontal beam half-angle: 60°; vertical beam half-angle: 15°).</w:t>
            </w:r>
          </w:p>
        </w:tc>
      </w:tr>
    </w:tbl>
    <w:p w14:paraId="040BB8F9">
      <w:pPr>
        <w:shd w:val="clear" w:fill="FFFFFF" w:themeFill="background1"/>
      </w:pPr>
    </w:p>
    <w:tbl>
      <w:tblPr>
        <w:tblStyle w:val="6"/>
        <w:tblW w:w="11019" w:type="dxa"/>
        <w:tblInd w:w="0" w:type="dxa"/>
        <w:tblBorders>
          <w:top w:val="single" w:color="E7E6E6" w:themeColor="background2" w:sz="4" w:space="0"/>
          <w:left w:val="single" w:color="E7E6E6" w:themeColor="background2" w:sz="4" w:space="0"/>
          <w:bottom w:val="single" w:color="E7E6E6" w:themeColor="background2" w:sz="4" w:space="0"/>
          <w:right w:val="single" w:color="E7E6E6" w:themeColor="background2" w:sz="4" w:space="0"/>
          <w:insideH w:val="single" w:color="E7E6E6" w:themeColor="background2" w:sz="4" w:space="0"/>
          <w:insideV w:val="single" w:color="E7E6E6" w:themeColor="background2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7925"/>
      </w:tblGrid>
      <w:tr w14:paraId="55598896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C9D009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b/>
                <w:bCs/>
                <w:color w:val="727172"/>
                <w:kern w:val="2"/>
                <w:sz w:val="21"/>
                <w:szCs w:val="21"/>
                <w:lang w:val="en-US" w:eastAsia="zh-CN" w:bidi="ar-SA"/>
              </w:rPr>
              <w:t>RF Characteristics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1A06F86C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ascii="方正兰亭黑简体" w:hAnsi="方正兰亭黑简体" w:eastAsia="方正兰亭黑简体" w:cs="方正兰亭黑简体"/>
                <w:color w:val="727172"/>
                <w:szCs w:val="21"/>
              </w:rPr>
            </w:pPr>
          </w:p>
        </w:tc>
      </w:tr>
      <w:tr w14:paraId="0F6BDE19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6C11743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frequency range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384EDAF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ISM Band: 4.900 GHz – 5.850 GHz</w:t>
            </w:r>
          </w:p>
        </w:tc>
      </w:tr>
      <w:tr w14:paraId="4C7DA589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DBE3DA6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Channel Distribution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4F1296F4">
            <w:pPr>
              <w:shd w:val="clear" w:fill="FFFFFF" w:themeFill="background1"/>
              <w:snapToGrid w:val="0"/>
              <w:spacing w:line="440" w:lineRule="exact"/>
              <w:ind w:left="420" w:left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5G：36、40、44、48、52、56、60、64、100、104、108、112、116、120、124、128、132、136、140、149、153、157、161、165</w:t>
            </w:r>
          </w:p>
        </w:tc>
      </w:tr>
      <w:tr w14:paraId="0CCCB251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66DCEA32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modulation mode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800EBEE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OFDM = BPSK,QPSK,16-QAM,64-QAM,256-QAM;DSSS = DBPSK,DQPSK,CCK</w:t>
            </w:r>
          </w:p>
        </w:tc>
      </w:tr>
      <w:tr w14:paraId="12E5B27E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652D66C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output power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033CB8E4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11a @54M:20±2dB,            @6M:23±2Db            11a @54M:20±2dB,            @6M:23±2Db</w:t>
            </w:r>
          </w:p>
          <w:p w14:paraId="4D36E0ED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11n 20MHz：@MCS9:20±2dB,    @MCS0:23±2dB</w:t>
            </w:r>
          </w:p>
          <w:p w14:paraId="7A5AD122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11n 40MHz：@MCS9:20±2dB,    @MCS0:23±2dB</w:t>
            </w:r>
          </w:p>
          <w:p w14:paraId="2D94F749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11ac 40MHz @MCS9:20±2dB,    @MCS0:23±2dB</w:t>
            </w:r>
          </w:p>
          <w:p w14:paraId="46E45C70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11ac 80MHz @MCS9:20±2dB,    @MCS0:23±2Db</w:t>
            </w:r>
          </w:p>
        </w:tc>
      </w:tr>
      <w:tr w14:paraId="55DD685D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5627C5D5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receiving sensitivity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F65023F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11a:        ＜-72dbm@54Mbps,    ＜-89dbm@6Mbps</w:t>
            </w:r>
          </w:p>
          <w:p w14:paraId="3588929A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11n 20MHz:  ＜-71dbm@MCS8,      ＜-89dbm@MCS0</w:t>
            </w:r>
          </w:p>
          <w:p w14:paraId="5F251274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11ac 40MHz：＜-66dbm@MCS9,      ＜-84dbm@MCS0</w:t>
            </w:r>
          </w:p>
          <w:p w14:paraId="5BCA5AE3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11ac 80MHz: ＜-63dBm@MCS9       ＜-81dBm@MCS0</w:t>
            </w:r>
          </w:p>
        </w:tc>
      </w:tr>
      <w:tr w14:paraId="5C2BF8E2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6062CD5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EVM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27CDCECD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802.11n: ≤-28 dB    802.11a: ≤-25 dB</w:t>
            </w:r>
          </w:p>
        </w:tc>
      </w:tr>
      <w:tr w14:paraId="6AC65588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095D37B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frequency deviation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76B0F296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＜±20ppm</w:t>
            </w:r>
          </w:p>
        </w:tc>
      </w:tr>
    </w:tbl>
    <w:p w14:paraId="6D524DFE">
      <w:pPr>
        <w:shd w:val="clear" w:fill="FFFFFF" w:themeFill="background1"/>
      </w:pPr>
    </w:p>
    <w:tbl>
      <w:tblPr>
        <w:tblStyle w:val="6"/>
        <w:tblW w:w="11019" w:type="dxa"/>
        <w:tblInd w:w="0" w:type="dxa"/>
        <w:tblBorders>
          <w:top w:val="single" w:color="E7E6E6" w:themeColor="background2" w:sz="4" w:space="0"/>
          <w:left w:val="single" w:color="E7E6E6" w:themeColor="background2" w:sz="4" w:space="0"/>
          <w:bottom w:val="single" w:color="E7E6E6" w:themeColor="background2" w:sz="4" w:space="0"/>
          <w:right w:val="single" w:color="E7E6E6" w:themeColor="background2" w:sz="4" w:space="0"/>
          <w:insideH w:val="single" w:color="E7E6E6" w:themeColor="background2" w:sz="4" w:space="0"/>
          <w:insideV w:val="single" w:color="E7E6E6" w:themeColor="background2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094"/>
        <w:gridCol w:w="7925"/>
      </w:tblGrid>
      <w:tr w14:paraId="2B3CC806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6E50E7C1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b/>
                <w:bCs/>
                <w:color w:val="727172"/>
                <w:kern w:val="2"/>
                <w:sz w:val="21"/>
                <w:szCs w:val="21"/>
                <w:lang w:val="en-US" w:eastAsia="zh-CN" w:bidi="ar-SA"/>
              </w:rPr>
              <w:t>Software Features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93B793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ascii="方正兰亭黑简体" w:hAnsi="方正兰亭黑简体" w:eastAsia="方正兰亭黑简体" w:cs="方正兰亭黑简体"/>
                <w:color w:val="727172"/>
                <w:szCs w:val="21"/>
              </w:rPr>
            </w:pPr>
          </w:p>
        </w:tc>
      </w:tr>
      <w:tr w14:paraId="34DD08C0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4F3634B2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work pattern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2A1C561A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The Master AP (Bridge Access Point) and the Slave AP (Bridge Client) can be switched between each other using a jumper switch.</w:t>
            </w:r>
          </w:p>
        </w:tc>
      </w:tr>
      <w:tr w14:paraId="29AE8A3E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CD04520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Network Configuration Method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D98651B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Point-to-point and point-to-multipoint (up to 8 points)</w:t>
            </w:r>
          </w:p>
        </w:tc>
      </w:tr>
      <w:tr w14:paraId="508A337E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5A64D705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management style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auto"/>
            <w:vAlign w:val="center"/>
          </w:tcPr>
          <w:p w14:paraId="16DABB05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Chinese-language Web-based Remote Management</w:t>
            </w:r>
          </w:p>
        </w:tc>
      </w:tr>
      <w:tr w14:paraId="6EBB400B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CD459BE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Bridge Configuration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719695F9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Wireless Mode: Bridge Access Point, Bridge Client Switching</w:t>
            </w:r>
          </w:p>
          <w:p w14:paraId="6FD68160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Bridge Access Point:</w:t>
            </w:r>
          </w:p>
          <w:p w14:paraId="2C90198C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Bridge SSID, encryption method (WPA2-PSK, WPA-PSK, no encryption), bridge password, wireless protocol</w:t>
            </w:r>
          </w:p>
          <w:p w14:paraId="4C94A6A4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Wireless bandwidth, wireless channel, wireless power (100%,75%,50%,25%,10%,5%)</w:t>
            </w:r>
          </w:p>
          <w:p w14:paraId="5506D3AB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Bridge Client:</w:t>
            </w:r>
          </w:p>
          <w:p w14:paraId="35375F1E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Bridge SSID, encryption method (WPA2-PSK, WPA-PSK, no encryption), bridge password</w:t>
            </w:r>
          </w:p>
          <w:p w14:paraId="688F456A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Opposite end MAC address locking, wireless channel, wireless power (100%,75%,50%,25%,10%,5%)</w:t>
            </w:r>
          </w:p>
        </w:tc>
      </w:tr>
      <w:tr w14:paraId="767489AA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3094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00FB5007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network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/>
            <w:vAlign w:val="center"/>
          </w:tcPr>
          <w:p w14:paraId="13A61966">
            <w:pPr>
              <w:shd w:val="clear" w:fill="FFFFFF" w:themeFill="background1"/>
              <w:tabs>
                <w:tab w:val="center" w:pos="3854"/>
              </w:tabs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Static IP/Dynamic IP Allocation</w:t>
            </w:r>
          </w:p>
        </w:tc>
      </w:tr>
      <w:tr w14:paraId="02263B67">
        <w:tblPrEx>
          <w:tblBorders>
            <w:top w:val="single" w:color="E7E6E6" w:themeColor="background2" w:sz="4" w:space="0"/>
            <w:left w:val="single" w:color="E7E6E6" w:themeColor="background2" w:sz="4" w:space="0"/>
            <w:bottom w:val="single" w:color="E7E6E6" w:themeColor="background2" w:sz="4" w:space="0"/>
            <w:right w:val="single" w:color="E7E6E6" w:themeColor="background2" w:sz="4" w:space="0"/>
            <w:insideH w:val="single" w:color="E7E6E6" w:themeColor="background2" w:sz="4" w:space="0"/>
            <w:insideV w:val="single" w:color="E7E6E6" w:themeColor="background2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5" w:hRule="atLeast"/>
        </w:trPr>
        <w:tc>
          <w:tcPr>
            <w:tcW w:w="3094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34F422C8">
            <w:pPr>
              <w:shd w:val="clear" w:fill="FFFFFF" w:themeFill="background1"/>
              <w:snapToGrid w:val="0"/>
              <w:spacing w:line="440" w:lineRule="exact"/>
              <w:ind w:firstLine="735" w:firstLineChars="35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system</w:t>
            </w:r>
          </w:p>
        </w:tc>
        <w:tc>
          <w:tcPr>
            <w:tcW w:w="7925" w:type="dxa"/>
            <w:tcBorders>
              <w:tl2br w:val="nil"/>
              <w:tr2bl w:val="nil"/>
            </w:tcBorders>
            <w:shd w:val="clear" w:color="auto" w:fill="FFFFFF" w:themeFill="background1"/>
            <w:vAlign w:val="center"/>
          </w:tcPr>
          <w:p w14:paraId="527B391B">
            <w:pPr>
              <w:shd w:val="clear" w:fill="FFFFFF" w:themeFill="background1"/>
              <w:snapToGrid w:val="0"/>
              <w:spacing w:line="440" w:lineRule="exact"/>
              <w:ind w:firstLine="420" w:firstLineChars="200"/>
              <w:textAlignment w:val="center"/>
              <w:rPr>
                <w:rFonts w:hint="eastAsia" w:ascii="方正兰亭黑简体" w:hAnsi="方正兰亭黑简体" w:eastAsia="方正兰亭黑简体" w:cs="方正兰亭黑简体"/>
                <w:color w:val="727172"/>
                <w:szCs w:val="21"/>
                <w:lang w:eastAsia="zh-CN"/>
              </w:rPr>
            </w:pPr>
            <w:r>
              <w:rPr>
                <w:rFonts w:hint="eastAsia" w:ascii="Times New Roman" w:hAnsi="方正兰亭黑简体" w:eastAsia="微软雅黑" w:cs="方正兰亭黑简体"/>
                <w:color w:val="727172"/>
                <w:kern w:val="2"/>
                <w:sz w:val="21"/>
                <w:szCs w:val="21"/>
                <w:lang w:val="en-US" w:eastAsia="zh-CN" w:bidi="ar-SA"/>
              </w:rPr>
              <w:t>Change login password, factory reset, local upgrade</w:t>
            </w:r>
          </w:p>
        </w:tc>
      </w:tr>
    </w:tbl>
    <w:p w14:paraId="21CD3609">
      <w:pPr>
        <w:rPr>
          <w:rFonts w:hint="eastAsia" w:eastAsiaTheme="minorEastAsia"/>
          <w:lang w:eastAsia="zh-CN"/>
        </w:rPr>
      </w:pPr>
    </w:p>
    <w:p w14:paraId="576BD80E"/>
    <w:p w14:paraId="39FC5341">
      <w:pPr>
        <w:snapToGrid w:val="0"/>
        <w:spacing w:line="440" w:lineRule="exact"/>
        <w:ind w:firstLine="420" w:firstLineChars="200"/>
        <w:textAlignment w:val="center"/>
        <w:rPr>
          <w:rFonts w:ascii="方正兰亭黑简体" w:hAnsi="方正兰亭黑简体" w:eastAsia="方正兰亭黑简体" w:cs="方正兰亭黑简体"/>
          <w:color w:val="727172"/>
          <w:szCs w:val="21"/>
        </w:rPr>
      </w:pPr>
    </w:p>
    <w:sectPr>
      <w:headerReference r:id="rId3" w:type="default"/>
      <w:pgSz w:w="11906" w:h="16838"/>
      <w:pgMar w:top="1440" w:right="1020" w:bottom="1440" w:left="567" w:header="851" w:footer="992" w:gutter="0"/>
      <w:cols w:space="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兰亭中黑_GBK">
    <w:altName w:val="黑体"/>
    <w:panose1 w:val="00000000000000000000"/>
    <w:charset w:val="86"/>
    <w:family w:val="auto"/>
    <w:pitch w:val="default"/>
    <w:sig w:usb0="00000000" w:usb1="00000000" w:usb2="00082016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方正兰亭黑简体">
    <w:altName w:val="黑体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2B1359A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3"/>
  <w:bordersDoNotSurroundHeader w:val="0"/>
  <w:bordersDoNotSurroundFooter w:val="0"/>
  <w:documentProtection w:edit="readOnly"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E1MzRkMmQ0NmRlN2JmZTdhMjQ0MzcyZjliOWQ0N2IifQ=="/>
  </w:docVars>
  <w:rsids>
    <w:rsidRoot w:val="00172A27"/>
    <w:rsid w:val="00015857"/>
    <w:rsid w:val="000741BB"/>
    <w:rsid w:val="000F3746"/>
    <w:rsid w:val="001103C5"/>
    <w:rsid w:val="001141C6"/>
    <w:rsid w:val="00122C56"/>
    <w:rsid w:val="00172A27"/>
    <w:rsid w:val="001C61AF"/>
    <w:rsid w:val="001F1ACF"/>
    <w:rsid w:val="0022484C"/>
    <w:rsid w:val="002A7BFB"/>
    <w:rsid w:val="002B1668"/>
    <w:rsid w:val="003A10CD"/>
    <w:rsid w:val="003B52EC"/>
    <w:rsid w:val="003C1DA3"/>
    <w:rsid w:val="004510B8"/>
    <w:rsid w:val="00486C56"/>
    <w:rsid w:val="004E2468"/>
    <w:rsid w:val="00553021"/>
    <w:rsid w:val="006165BB"/>
    <w:rsid w:val="00747780"/>
    <w:rsid w:val="00782713"/>
    <w:rsid w:val="007A0BE7"/>
    <w:rsid w:val="007F34C6"/>
    <w:rsid w:val="00832569"/>
    <w:rsid w:val="0083321E"/>
    <w:rsid w:val="00847AB6"/>
    <w:rsid w:val="00921B2A"/>
    <w:rsid w:val="009D72E2"/>
    <w:rsid w:val="00A05572"/>
    <w:rsid w:val="00A9497B"/>
    <w:rsid w:val="00B25981"/>
    <w:rsid w:val="00C67A65"/>
    <w:rsid w:val="00C8210A"/>
    <w:rsid w:val="00CE4D00"/>
    <w:rsid w:val="00D03FEA"/>
    <w:rsid w:val="00D10DEE"/>
    <w:rsid w:val="00D15F04"/>
    <w:rsid w:val="00E96F30"/>
    <w:rsid w:val="00EC41A9"/>
    <w:rsid w:val="048359BE"/>
    <w:rsid w:val="08820CC5"/>
    <w:rsid w:val="0C081EDF"/>
    <w:rsid w:val="0D493A06"/>
    <w:rsid w:val="0D7453A5"/>
    <w:rsid w:val="0E040400"/>
    <w:rsid w:val="0F521DBB"/>
    <w:rsid w:val="0F585F7D"/>
    <w:rsid w:val="0F5D4F7B"/>
    <w:rsid w:val="10867569"/>
    <w:rsid w:val="10D32F78"/>
    <w:rsid w:val="141110B6"/>
    <w:rsid w:val="14D52192"/>
    <w:rsid w:val="154D631E"/>
    <w:rsid w:val="155506F5"/>
    <w:rsid w:val="155C7B8B"/>
    <w:rsid w:val="163913F7"/>
    <w:rsid w:val="18521E9F"/>
    <w:rsid w:val="1B301DD0"/>
    <w:rsid w:val="1B8D144E"/>
    <w:rsid w:val="1C26052D"/>
    <w:rsid w:val="1C866E21"/>
    <w:rsid w:val="1DA01ADF"/>
    <w:rsid w:val="1DC47ECC"/>
    <w:rsid w:val="1DD17607"/>
    <w:rsid w:val="1E292164"/>
    <w:rsid w:val="1FB12809"/>
    <w:rsid w:val="1FD5069B"/>
    <w:rsid w:val="231F059A"/>
    <w:rsid w:val="25AC4A10"/>
    <w:rsid w:val="2651502C"/>
    <w:rsid w:val="275F4B86"/>
    <w:rsid w:val="27B07053"/>
    <w:rsid w:val="28811B72"/>
    <w:rsid w:val="29612E2A"/>
    <w:rsid w:val="2AE22613"/>
    <w:rsid w:val="2BF348CF"/>
    <w:rsid w:val="2D41432E"/>
    <w:rsid w:val="2F977B05"/>
    <w:rsid w:val="303F3405"/>
    <w:rsid w:val="32F85B63"/>
    <w:rsid w:val="337D6EE6"/>
    <w:rsid w:val="363C2ECF"/>
    <w:rsid w:val="383E5020"/>
    <w:rsid w:val="39012FDE"/>
    <w:rsid w:val="39BC2ABD"/>
    <w:rsid w:val="3BC8394A"/>
    <w:rsid w:val="3C8C1932"/>
    <w:rsid w:val="3C9C66B4"/>
    <w:rsid w:val="3FDE1383"/>
    <w:rsid w:val="40425048"/>
    <w:rsid w:val="414C3775"/>
    <w:rsid w:val="446D6D08"/>
    <w:rsid w:val="450A3AD8"/>
    <w:rsid w:val="4562727F"/>
    <w:rsid w:val="459D44D0"/>
    <w:rsid w:val="45C966CE"/>
    <w:rsid w:val="46915326"/>
    <w:rsid w:val="46EF282F"/>
    <w:rsid w:val="476C3FCF"/>
    <w:rsid w:val="483B76F0"/>
    <w:rsid w:val="48993746"/>
    <w:rsid w:val="496A54D5"/>
    <w:rsid w:val="4B681276"/>
    <w:rsid w:val="4BA60D91"/>
    <w:rsid w:val="4BEF7A1E"/>
    <w:rsid w:val="4C3B5A43"/>
    <w:rsid w:val="4C4E61E4"/>
    <w:rsid w:val="4EFA38F2"/>
    <w:rsid w:val="50E4338B"/>
    <w:rsid w:val="51CC210D"/>
    <w:rsid w:val="524D22AF"/>
    <w:rsid w:val="53440EC4"/>
    <w:rsid w:val="536E518F"/>
    <w:rsid w:val="53AE3D7A"/>
    <w:rsid w:val="53B045A2"/>
    <w:rsid w:val="551E2E2E"/>
    <w:rsid w:val="558E59C4"/>
    <w:rsid w:val="561662EF"/>
    <w:rsid w:val="573C0758"/>
    <w:rsid w:val="57F93111"/>
    <w:rsid w:val="5B290111"/>
    <w:rsid w:val="5BCE0074"/>
    <w:rsid w:val="5C240CB1"/>
    <w:rsid w:val="5CB90659"/>
    <w:rsid w:val="5DA541D5"/>
    <w:rsid w:val="5FEE7125"/>
    <w:rsid w:val="60A6361D"/>
    <w:rsid w:val="60CE1436"/>
    <w:rsid w:val="64C77E1F"/>
    <w:rsid w:val="65F162DB"/>
    <w:rsid w:val="6707542C"/>
    <w:rsid w:val="694C517D"/>
    <w:rsid w:val="6A991ED4"/>
    <w:rsid w:val="6DA90627"/>
    <w:rsid w:val="6DA938EC"/>
    <w:rsid w:val="6E256510"/>
    <w:rsid w:val="6E297071"/>
    <w:rsid w:val="6E6505C6"/>
    <w:rsid w:val="6F6B3776"/>
    <w:rsid w:val="6FC71CED"/>
    <w:rsid w:val="701C2629"/>
    <w:rsid w:val="70625B5C"/>
    <w:rsid w:val="708A68BE"/>
    <w:rsid w:val="71F6141D"/>
    <w:rsid w:val="72825DA9"/>
    <w:rsid w:val="75404372"/>
    <w:rsid w:val="75AF3EB6"/>
    <w:rsid w:val="76086BAD"/>
    <w:rsid w:val="76F57663"/>
    <w:rsid w:val="771A0AEA"/>
    <w:rsid w:val="7A276A65"/>
    <w:rsid w:val="7B8806FC"/>
    <w:rsid w:val="7C32261A"/>
    <w:rsid w:val="7CD83DE5"/>
    <w:rsid w:val="7E2C3C50"/>
    <w:rsid w:val="7E430BD6"/>
    <w:rsid w:val="7ECA02CA"/>
    <w:rsid w:val="7F6747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iPriority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iPriority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qFormat/>
    <w:uiPriority w:val="0"/>
    <w:pPr>
      <w:jc w:val="left"/>
    </w:pPr>
  </w:style>
  <w:style w:type="paragraph" w:styleId="3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5</Pages>
  <Words>1035</Words>
  <Characters>6203</Characters>
  <Lines>19</Lines>
  <Paragraphs>5</Paragraphs>
  <TotalTime>4</TotalTime>
  <ScaleCrop>false</ScaleCrop>
  <LinksUpToDate>false</LinksUpToDate>
  <CharactersWithSpaces>7108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2019-06-24T03:38:00Z</dcterms:created>
  <dc:creator>pc</dc:creator>
  <cp:lastModifiedBy>刘小匪</cp:lastModifiedBy>
  <dcterms:modified xsi:type="dcterms:W3CDTF">2026-07-29T08:54:03Z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CCCAF22EEFBB43DFB1C79CE39B217877</vt:lpwstr>
  </property>
  <property fmtid="{D5CDD505-2E9C-101B-9397-08002B2CF9AE}" pid="4" name="KSOTemplateDocerSaveRecord">
    <vt:lpwstr>eyJoZGlkIjoiMjBjNGFjMWJjOGViNTY4OTc5OThlNDVkMGMxMzI1NDAiLCJ1c2VySWQiOiIyOTE0NTU3OTkifQ==</vt:lpwstr>
  </property>
</Properties>
</file>